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81F6F" w14:textId="77777777" w:rsidR="00E031C5" w:rsidRPr="00EB1F51" w:rsidRDefault="00E031C5" w:rsidP="00E031C5">
      <w:pPr>
        <w:jc w:val="both"/>
        <w:rPr>
          <w:rFonts w:eastAsia="Aptos"/>
          <w:kern w:val="2"/>
          <w:sz w:val="24"/>
          <w:szCs w:val="24"/>
          <w14:ligatures w14:val="standardContextual"/>
        </w:rPr>
      </w:pPr>
      <w:r w:rsidRPr="00EB1F51">
        <w:rPr>
          <w:noProof/>
        </w:rPr>
        <w:drawing>
          <wp:inline distT="0" distB="0" distL="0" distR="0" wp14:anchorId="1568A3BE" wp14:editId="6A5E6EE3">
            <wp:extent cx="1457325" cy="561975"/>
            <wp:effectExtent l="0" t="0" r="9525" b="9525"/>
            <wp:docPr id="1" name="Picture 2"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Logo (EST)"/>
                    <pic:cNvPicPr>
                      <a:picLocks noChangeAspect="1"/>
                    </pic:cNvPicPr>
                  </pic:nvPicPr>
                  <pic:blipFill>
                    <a:blip r:embed="rId8" cstate="print"/>
                    <a:srcRect/>
                    <a:stretch>
                      <a:fillRect/>
                    </a:stretch>
                  </pic:blipFill>
                  <pic:spPr bwMode="auto">
                    <a:xfrm>
                      <a:off x="0" y="0"/>
                      <a:ext cx="1457325" cy="561975"/>
                    </a:xfrm>
                    <a:prstGeom prst="rect">
                      <a:avLst/>
                    </a:prstGeom>
                    <a:noFill/>
                    <a:ln w="9525">
                      <a:noFill/>
                      <a:miter lim="800000"/>
                      <a:headEnd/>
                      <a:tailEnd/>
                    </a:ln>
                  </pic:spPr>
                </pic:pic>
              </a:graphicData>
            </a:graphic>
          </wp:inline>
        </w:drawing>
      </w:r>
    </w:p>
    <w:p w14:paraId="6D1749E5" w14:textId="77777777" w:rsidR="00095A64" w:rsidRDefault="00095A64" w:rsidP="00E031C5">
      <w:pPr>
        <w:spacing w:after="0" w:line="240" w:lineRule="auto"/>
        <w:rPr>
          <w:rFonts w:eastAsia="Aptos" w:cstheme="minorHAnsi"/>
          <w:sz w:val="24"/>
          <w:szCs w:val="24"/>
        </w:rPr>
      </w:pPr>
    </w:p>
    <w:p w14:paraId="4C6F2141" w14:textId="77777777" w:rsidR="00095A64" w:rsidRDefault="00095A64" w:rsidP="0057113E">
      <w:pPr>
        <w:spacing w:after="0" w:line="240" w:lineRule="auto"/>
        <w:rPr>
          <w:rFonts w:eastAsia="Aptos" w:cstheme="minorHAnsi"/>
          <w:sz w:val="24"/>
          <w:szCs w:val="24"/>
        </w:rPr>
      </w:pPr>
    </w:p>
    <w:p w14:paraId="396179A2" w14:textId="77777777" w:rsidR="004640BC" w:rsidRDefault="004640BC" w:rsidP="0057113E">
      <w:pPr>
        <w:spacing w:after="0" w:line="240" w:lineRule="auto"/>
        <w:rPr>
          <w:rFonts w:eastAsia="Aptos" w:cstheme="minorHAnsi"/>
          <w:sz w:val="24"/>
          <w:szCs w:val="24"/>
        </w:rPr>
      </w:pPr>
    </w:p>
    <w:p w14:paraId="252AE5FA" w14:textId="28CC1C2C" w:rsidR="00E031C5" w:rsidRPr="00DE05D2" w:rsidRDefault="00E031C5" w:rsidP="0057113E">
      <w:pPr>
        <w:spacing w:after="0" w:line="240" w:lineRule="auto"/>
        <w:rPr>
          <w:rFonts w:eastAsia="Aptos" w:cstheme="minorHAnsi"/>
          <w:sz w:val="24"/>
          <w:szCs w:val="24"/>
        </w:rPr>
      </w:pPr>
      <w:r w:rsidRPr="00DE05D2">
        <w:rPr>
          <w:rFonts w:eastAsia="Aptos" w:cstheme="minorHAnsi"/>
          <w:sz w:val="24"/>
          <w:szCs w:val="24"/>
        </w:rPr>
        <w:t>Justiitsministeerium</w:t>
      </w:r>
    </w:p>
    <w:p w14:paraId="79C57D03" w14:textId="4D9FC288" w:rsidR="00E031C5" w:rsidRPr="00DE05D2" w:rsidRDefault="00E031C5" w:rsidP="0057113E">
      <w:pPr>
        <w:spacing w:after="0" w:line="240" w:lineRule="auto"/>
        <w:jc w:val="both"/>
        <w:rPr>
          <w:rFonts w:eastAsia="Aptos" w:cstheme="minorHAnsi"/>
          <w:sz w:val="24"/>
          <w:szCs w:val="24"/>
        </w:rPr>
      </w:pPr>
      <w:hyperlink r:id="rId9" w:history="1">
        <w:r w:rsidRPr="00DE05D2">
          <w:rPr>
            <w:rFonts w:eastAsia="Aptos" w:cstheme="minorHAnsi"/>
            <w:sz w:val="24"/>
            <w:szCs w:val="24"/>
          </w:rPr>
          <w:t>info@just.ee</w:t>
        </w:r>
      </w:hyperlink>
      <w:r w:rsidRPr="00DE05D2">
        <w:rPr>
          <w:rFonts w:eastAsia="Aptos" w:cstheme="minorHAnsi"/>
          <w:sz w:val="24"/>
          <w:szCs w:val="24"/>
        </w:rPr>
        <w:t xml:space="preserve"> </w:t>
      </w:r>
      <w:r w:rsidR="004640BC">
        <w:rPr>
          <w:rFonts w:eastAsia="Aptos" w:cstheme="minorHAnsi"/>
          <w:sz w:val="24"/>
          <w:szCs w:val="24"/>
        </w:rPr>
        <w:tab/>
      </w:r>
      <w:r w:rsidR="004640BC">
        <w:rPr>
          <w:rFonts w:eastAsia="Aptos" w:cstheme="minorHAnsi"/>
          <w:sz w:val="24"/>
          <w:szCs w:val="24"/>
        </w:rPr>
        <w:tab/>
      </w:r>
      <w:r w:rsidR="004640BC">
        <w:rPr>
          <w:rFonts w:eastAsia="Aptos" w:cstheme="minorHAnsi"/>
          <w:sz w:val="24"/>
          <w:szCs w:val="24"/>
        </w:rPr>
        <w:tab/>
      </w:r>
      <w:r w:rsidR="004640BC">
        <w:rPr>
          <w:rFonts w:eastAsia="Aptos" w:cstheme="minorHAnsi"/>
          <w:sz w:val="24"/>
          <w:szCs w:val="24"/>
        </w:rPr>
        <w:tab/>
      </w:r>
      <w:r w:rsidR="004640BC">
        <w:rPr>
          <w:rFonts w:eastAsia="Aptos" w:cstheme="minorHAnsi"/>
          <w:sz w:val="24"/>
          <w:szCs w:val="24"/>
        </w:rPr>
        <w:tab/>
      </w:r>
      <w:r w:rsidR="004640BC">
        <w:rPr>
          <w:rFonts w:eastAsia="Aptos" w:cstheme="minorHAnsi"/>
          <w:sz w:val="24"/>
          <w:szCs w:val="24"/>
        </w:rPr>
        <w:tab/>
      </w:r>
      <w:r w:rsidR="004640BC">
        <w:rPr>
          <w:rFonts w:eastAsia="Aptos" w:cstheme="minorHAnsi"/>
          <w:sz w:val="24"/>
          <w:szCs w:val="24"/>
        </w:rPr>
        <w:tab/>
      </w:r>
      <w:r w:rsidR="004640BC">
        <w:rPr>
          <w:rFonts w:eastAsia="Aptos" w:cstheme="minorHAnsi"/>
          <w:sz w:val="24"/>
          <w:szCs w:val="24"/>
        </w:rPr>
        <w:tab/>
        <w:t xml:space="preserve">                Meie: </w:t>
      </w:r>
      <w:r w:rsidR="004640BC">
        <w:rPr>
          <w:rFonts w:eastAsia="Aptos" w:cstheme="minorHAnsi"/>
          <w:kern w:val="2"/>
          <w:sz w:val="24"/>
          <w:szCs w:val="24"/>
          <w14:ligatures w14:val="standardContextual"/>
        </w:rPr>
        <w:t>10.12.2024</w:t>
      </w:r>
    </w:p>
    <w:p w14:paraId="40392197" w14:textId="77777777" w:rsidR="0057113E" w:rsidRDefault="0057113E" w:rsidP="0057113E">
      <w:pPr>
        <w:spacing w:after="0" w:line="240" w:lineRule="auto"/>
        <w:jc w:val="both"/>
        <w:rPr>
          <w:rFonts w:eastAsia="Aptos" w:cstheme="minorHAnsi"/>
          <w:sz w:val="24"/>
          <w:szCs w:val="24"/>
        </w:rPr>
      </w:pPr>
    </w:p>
    <w:p w14:paraId="486A5A84" w14:textId="38FF9663" w:rsidR="008B4D8D" w:rsidRDefault="00E031C5" w:rsidP="0057113E">
      <w:pPr>
        <w:spacing w:after="0" w:line="240" w:lineRule="auto"/>
        <w:jc w:val="both"/>
        <w:rPr>
          <w:rFonts w:eastAsia="Aptos" w:cstheme="minorHAnsi"/>
          <w:sz w:val="24"/>
          <w:szCs w:val="24"/>
        </w:rPr>
      </w:pPr>
      <w:r w:rsidRPr="00DE05D2">
        <w:rPr>
          <w:rFonts w:eastAsia="Aptos" w:cstheme="minorHAnsi"/>
          <w:sz w:val="24"/>
          <w:szCs w:val="24"/>
        </w:rPr>
        <w:t>Infoks: Majandus- ja Kommunikats</w:t>
      </w:r>
      <w:r>
        <w:rPr>
          <w:rFonts w:eastAsia="Aptos" w:cstheme="minorHAnsi"/>
          <w:sz w:val="24"/>
          <w:szCs w:val="24"/>
        </w:rPr>
        <w:t>i</w:t>
      </w:r>
      <w:r w:rsidRPr="00DE05D2">
        <w:rPr>
          <w:rFonts w:eastAsia="Aptos" w:cstheme="minorHAnsi"/>
          <w:sz w:val="24"/>
          <w:szCs w:val="24"/>
        </w:rPr>
        <w:t>ooniministeerium</w:t>
      </w:r>
    </w:p>
    <w:p w14:paraId="2859CA16" w14:textId="20740288" w:rsidR="00E031C5" w:rsidRPr="008B4D8D" w:rsidRDefault="008B4D8D" w:rsidP="0057113E">
      <w:pPr>
        <w:spacing w:after="0" w:line="240" w:lineRule="auto"/>
        <w:jc w:val="both"/>
        <w:rPr>
          <w:rFonts w:eastAsia="Aptos" w:cstheme="minorHAnsi"/>
          <w:sz w:val="24"/>
          <w:szCs w:val="24"/>
        </w:rPr>
      </w:pPr>
      <w:r>
        <w:rPr>
          <w:rFonts w:eastAsia="Aptos" w:cstheme="minorHAnsi"/>
          <w:sz w:val="24"/>
          <w:szCs w:val="24"/>
        </w:rPr>
        <w:t>info@mkm</w:t>
      </w:r>
      <w:r w:rsidR="00DC54EF">
        <w:rPr>
          <w:rFonts w:eastAsia="Aptos" w:cstheme="minorHAnsi"/>
          <w:sz w:val="24"/>
          <w:szCs w:val="24"/>
        </w:rPr>
        <w:t>.ee</w:t>
      </w:r>
      <w:r w:rsidR="00E031C5" w:rsidRPr="00DE05D2">
        <w:rPr>
          <w:rFonts w:eastAsia="Aptos" w:cstheme="minorHAnsi"/>
          <w:sz w:val="24"/>
          <w:szCs w:val="24"/>
        </w:rPr>
        <w:tab/>
      </w:r>
      <w:r w:rsidR="00E031C5" w:rsidRPr="00DE59D1">
        <w:rPr>
          <w:rFonts w:eastAsia="Aptos" w:cstheme="minorHAnsi"/>
          <w:kern w:val="2"/>
          <w:sz w:val="24"/>
          <w:szCs w:val="24"/>
          <w14:ligatures w14:val="standardContextual"/>
        </w:rPr>
        <w:tab/>
      </w:r>
      <w:r w:rsidR="00E031C5" w:rsidRPr="00DE59D1">
        <w:rPr>
          <w:rFonts w:eastAsia="Aptos" w:cstheme="minorHAnsi"/>
          <w:kern w:val="2"/>
          <w:sz w:val="24"/>
          <w:szCs w:val="24"/>
          <w14:ligatures w14:val="standardContextual"/>
        </w:rPr>
        <w:tab/>
      </w:r>
      <w:r w:rsidR="00E031C5" w:rsidRPr="00DE59D1">
        <w:rPr>
          <w:rFonts w:eastAsia="Aptos" w:cstheme="minorHAnsi"/>
          <w:kern w:val="2"/>
          <w:sz w:val="24"/>
          <w:szCs w:val="24"/>
          <w14:ligatures w14:val="standardContextual"/>
        </w:rPr>
        <w:tab/>
      </w:r>
      <w:r w:rsidR="00E031C5" w:rsidRPr="00DE59D1">
        <w:rPr>
          <w:rFonts w:eastAsia="Aptos" w:cstheme="minorHAnsi"/>
          <w:kern w:val="2"/>
          <w:sz w:val="24"/>
          <w:szCs w:val="24"/>
          <w14:ligatures w14:val="standardContextual"/>
        </w:rPr>
        <w:tab/>
      </w:r>
    </w:p>
    <w:p w14:paraId="75672D6F" w14:textId="77777777" w:rsidR="0057113E" w:rsidRDefault="0057113E" w:rsidP="0057113E">
      <w:pPr>
        <w:spacing w:after="0" w:line="240" w:lineRule="auto"/>
        <w:jc w:val="both"/>
        <w:rPr>
          <w:rFonts w:eastAsia="Aptos" w:cstheme="minorHAnsi"/>
          <w:kern w:val="2"/>
          <w:sz w:val="24"/>
          <w:szCs w:val="24"/>
          <w14:ligatures w14:val="standardContextual"/>
        </w:rPr>
      </w:pPr>
    </w:p>
    <w:p w14:paraId="17AA7A59" w14:textId="6ACA7E96" w:rsidR="00E031C5" w:rsidRPr="00EB1F51" w:rsidRDefault="00E031C5" w:rsidP="0057113E">
      <w:pPr>
        <w:spacing w:after="0" w:line="240" w:lineRule="auto"/>
        <w:jc w:val="both"/>
        <w:rPr>
          <w:rFonts w:eastAsia="Aptos" w:cstheme="minorHAnsi"/>
          <w:kern w:val="2"/>
          <w:sz w:val="24"/>
          <w:szCs w:val="24"/>
          <w14:ligatures w14:val="standardContextual"/>
        </w:rPr>
      </w:pPr>
      <w:r w:rsidRPr="00EB1F51">
        <w:rPr>
          <w:rFonts w:eastAsia="Aptos" w:cstheme="minorHAnsi"/>
          <w:kern w:val="2"/>
          <w:sz w:val="24"/>
          <w:szCs w:val="24"/>
          <w14:ligatures w14:val="standardContextual"/>
        </w:rPr>
        <w:t xml:space="preserve">                                                                        </w:t>
      </w:r>
    </w:p>
    <w:p w14:paraId="4869FFCB" w14:textId="77777777" w:rsidR="00E031C5" w:rsidRPr="00EB1F51" w:rsidRDefault="00E031C5" w:rsidP="0057113E">
      <w:pPr>
        <w:pStyle w:val="1stlevelheading"/>
        <w:numPr>
          <w:ilvl w:val="0"/>
          <w:numId w:val="0"/>
        </w:numPr>
        <w:spacing w:before="0" w:after="0"/>
        <w:ind w:left="964" w:hanging="964"/>
        <w:rPr>
          <w:rFonts w:asciiTheme="minorHAnsi" w:eastAsia="Aptos" w:hAnsiTheme="minorHAnsi" w:cstheme="minorBidi"/>
          <w:caps w:val="0"/>
          <w:spacing w:val="0"/>
          <w:kern w:val="2"/>
          <w:lang w:val="et-EE"/>
          <w14:ligatures w14:val="standardContextual"/>
        </w:rPr>
      </w:pPr>
      <w:r w:rsidRPr="3C563D93">
        <w:rPr>
          <w:rFonts w:asciiTheme="minorHAnsi" w:eastAsia="Aptos" w:hAnsiTheme="minorHAnsi" w:cstheme="minorBidi"/>
          <w:caps w:val="0"/>
          <w:spacing w:val="0"/>
          <w:kern w:val="2"/>
          <w:lang w:val="et-EE"/>
          <w14:ligatures w14:val="standardContextual"/>
        </w:rPr>
        <w:t>Ettepanekud kliimakindla majanduse seaduse eelnõule</w:t>
      </w:r>
    </w:p>
    <w:p w14:paraId="7CB189A5" w14:textId="77777777" w:rsidR="004640BC" w:rsidRDefault="004640BC" w:rsidP="0057113E">
      <w:pPr>
        <w:spacing w:after="0" w:line="240" w:lineRule="auto"/>
        <w:jc w:val="both"/>
        <w:rPr>
          <w:rFonts w:eastAsia="Aptos" w:cstheme="minorHAnsi"/>
          <w:kern w:val="2"/>
          <w:sz w:val="24"/>
          <w:szCs w:val="24"/>
          <w14:ligatures w14:val="standardContextual"/>
        </w:rPr>
      </w:pPr>
    </w:p>
    <w:p w14:paraId="48CD348C" w14:textId="77777777" w:rsidR="0057113E" w:rsidRDefault="0057113E" w:rsidP="0057113E">
      <w:pPr>
        <w:spacing w:after="0" w:line="240" w:lineRule="auto"/>
        <w:jc w:val="both"/>
        <w:rPr>
          <w:rFonts w:eastAsia="Aptos" w:cstheme="minorHAnsi"/>
          <w:kern w:val="2"/>
          <w:sz w:val="24"/>
          <w:szCs w:val="24"/>
          <w14:ligatures w14:val="standardContextual"/>
        </w:rPr>
      </w:pPr>
    </w:p>
    <w:p w14:paraId="433C8F2D" w14:textId="417D3D9D" w:rsidR="00E031C5" w:rsidRDefault="00E031C5" w:rsidP="0057113E">
      <w:pPr>
        <w:spacing w:after="0" w:line="240" w:lineRule="auto"/>
        <w:jc w:val="both"/>
        <w:rPr>
          <w:rFonts w:eastAsia="Aptos" w:cstheme="minorHAnsi"/>
          <w:kern w:val="2"/>
          <w:sz w:val="24"/>
          <w:szCs w:val="24"/>
          <w14:ligatures w14:val="standardContextual"/>
        </w:rPr>
      </w:pPr>
      <w:r w:rsidRPr="00EB1F51">
        <w:rPr>
          <w:rFonts w:eastAsia="Aptos" w:cstheme="minorHAnsi"/>
          <w:kern w:val="2"/>
          <w:sz w:val="24"/>
          <w:szCs w:val="24"/>
          <w14:ligatures w14:val="standardContextual"/>
        </w:rPr>
        <w:t>Lugupeetud minister</w:t>
      </w:r>
      <w:r w:rsidR="004640BC">
        <w:rPr>
          <w:rFonts w:eastAsia="Aptos" w:cstheme="minorHAnsi"/>
          <w:kern w:val="2"/>
          <w:sz w:val="24"/>
          <w:szCs w:val="24"/>
          <w14:ligatures w14:val="standardContextual"/>
        </w:rPr>
        <w:t>!</w:t>
      </w:r>
    </w:p>
    <w:p w14:paraId="714E927B" w14:textId="77777777" w:rsidR="0057113E" w:rsidRDefault="0057113E" w:rsidP="0057113E">
      <w:pPr>
        <w:spacing w:after="0" w:line="240" w:lineRule="auto"/>
        <w:jc w:val="both"/>
        <w:rPr>
          <w:rFonts w:eastAsia="Arial"/>
          <w:sz w:val="24"/>
          <w:szCs w:val="24"/>
          <w:lang w:val="et"/>
        </w:rPr>
      </w:pPr>
    </w:p>
    <w:p w14:paraId="0B5A3CAE" w14:textId="0365BE9F" w:rsidR="00E031C5" w:rsidRDefault="00E031C5" w:rsidP="0057113E">
      <w:pPr>
        <w:spacing w:after="0" w:line="240" w:lineRule="auto"/>
        <w:jc w:val="both"/>
        <w:rPr>
          <w:rFonts w:eastAsia="Aptos"/>
          <w:sz w:val="24"/>
          <w:szCs w:val="24"/>
        </w:rPr>
      </w:pPr>
      <w:r w:rsidRPr="6D7BA28E">
        <w:rPr>
          <w:rFonts w:eastAsia="Arial"/>
          <w:sz w:val="24"/>
          <w:szCs w:val="24"/>
          <w:lang w:val="et"/>
        </w:rPr>
        <w:t xml:space="preserve">Kliimaministeerium avalikustas 03.12.2024 kliimakindla majanduse seaduse eelnõu (edaspidi </w:t>
      </w:r>
      <w:r w:rsidRPr="6D7BA28E">
        <w:rPr>
          <w:rFonts w:eastAsia="Arial"/>
          <w:b/>
          <w:sz w:val="24"/>
          <w:szCs w:val="24"/>
          <w:lang w:val="et"/>
        </w:rPr>
        <w:t>eelnõu</w:t>
      </w:r>
      <w:r w:rsidRPr="6D7BA28E">
        <w:rPr>
          <w:rFonts w:eastAsia="Arial"/>
          <w:sz w:val="24"/>
          <w:szCs w:val="24"/>
          <w:lang w:val="et"/>
        </w:rPr>
        <w:t xml:space="preserve">) ja selle seletuskirja. </w:t>
      </w:r>
      <w:r w:rsidRPr="6D7BA28E">
        <w:rPr>
          <w:rFonts w:eastAsia="Aptos"/>
          <w:kern w:val="2"/>
          <w:sz w:val="24"/>
          <w:szCs w:val="24"/>
          <w14:ligatures w14:val="standardContextual"/>
        </w:rPr>
        <w:t xml:space="preserve">Eesti Turbaliit MTÜ </w:t>
      </w:r>
      <w:r w:rsidRPr="6D7BA28E">
        <w:rPr>
          <w:rFonts w:eastAsia="Aptos"/>
          <w:sz w:val="24"/>
          <w:szCs w:val="24"/>
        </w:rPr>
        <w:t xml:space="preserve">pöördub Justiitsministeeriumi poole ja palub jätta eelnõu esitatud kujul kooskõlastamata või alternatiivselt kooskõlastada </w:t>
      </w:r>
      <w:r w:rsidR="002836DB">
        <w:rPr>
          <w:rFonts w:eastAsia="Aptos"/>
          <w:sz w:val="24"/>
          <w:szCs w:val="24"/>
        </w:rPr>
        <w:t xml:space="preserve">üksnes </w:t>
      </w:r>
      <w:r w:rsidRPr="6D7BA28E">
        <w:rPr>
          <w:rFonts w:eastAsia="Aptos"/>
          <w:sz w:val="24"/>
          <w:szCs w:val="24"/>
        </w:rPr>
        <w:t>tingimusel, et arvestatakse käesolevas kirjas toodud ettepanekutega.</w:t>
      </w:r>
    </w:p>
    <w:p w14:paraId="2E20581C" w14:textId="0C349663" w:rsidR="00E031C5" w:rsidRPr="00206D35" w:rsidRDefault="00E031C5" w:rsidP="00E031C5">
      <w:pPr>
        <w:jc w:val="both"/>
        <w:rPr>
          <w:sz w:val="24"/>
          <w:szCs w:val="24"/>
        </w:rPr>
      </w:pPr>
      <w:r w:rsidRPr="00206D35">
        <w:rPr>
          <w:b/>
          <w:sz w:val="24"/>
          <w:szCs w:val="24"/>
        </w:rPr>
        <w:t>Ettepanek 1</w:t>
      </w:r>
      <w:r w:rsidRPr="00206D35">
        <w:rPr>
          <w:sz w:val="24"/>
          <w:szCs w:val="24"/>
        </w:rPr>
        <w:t>.</w:t>
      </w:r>
      <w:r w:rsidRPr="00EB1F51">
        <w:rPr>
          <w:rFonts w:eastAsia="Aptos" w:cstheme="minorHAnsi"/>
          <w:kern w:val="2"/>
          <w:sz w:val="24"/>
          <w:szCs w:val="24"/>
          <w14:ligatures w14:val="standardContextual"/>
        </w:rPr>
        <w:t xml:space="preserve"> </w:t>
      </w:r>
      <w:r w:rsidRPr="00206D35">
        <w:rPr>
          <w:sz w:val="24"/>
          <w:szCs w:val="24"/>
        </w:rPr>
        <w:t xml:space="preserve">Palume sõnastada § 34 lõige 4 </w:t>
      </w:r>
      <w:r w:rsidR="002D3C80">
        <w:rPr>
          <w:sz w:val="24"/>
          <w:szCs w:val="24"/>
        </w:rPr>
        <w:t xml:space="preserve">ja selle </w:t>
      </w:r>
      <w:r w:rsidRPr="00206D35">
        <w:rPr>
          <w:sz w:val="24"/>
          <w:szCs w:val="24"/>
        </w:rPr>
        <w:t>punkt 3 alljärgnevalt (</w:t>
      </w:r>
      <w:r w:rsidRPr="00206D35">
        <w:rPr>
          <w:i/>
          <w:sz w:val="24"/>
          <w:szCs w:val="24"/>
        </w:rPr>
        <w:t>täpsustus kaldkirjas</w:t>
      </w:r>
      <w:r w:rsidRPr="00206D35">
        <w:rPr>
          <w:sz w:val="24"/>
          <w:szCs w:val="24"/>
        </w:rPr>
        <w:t xml:space="preserve">): </w:t>
      </w:r>
    </w:p>
    <w:p w14:paraId="29E106B6" w14:textId="2D958191" w:rsidR="00E031C5" w:rsidRPr="00206D35" w:rsidRDefault="00E031C5" w:rsidP="00E031C5">
      <w:pPr>
        <w:jc w:val="both"/>
        <w:rPr>
          <w:sz w:val="24"/>
          <w:szCs w:val="24"/>
        </w:rPr>
      </w:pPr>
      <w:r>
        <w:rPr>
          <w:sz w:val="24"/>
          <w:szCs w:val="24"/>
        </w:rPr>
        <w:t>„</w:t>
      </w:r>
      <w:r w:rsidRPr="00206D35">
        <w:rPr>
          <w:sz w:val="24"/>
          <w:szCs w:val="24"/>
        </w:rPr>
        <w:t>(</w:t>
      </w:r>
      <w:r w:rsidR="00CE5539">
        <w:rPr>
          <w:sz w:val="24"/>
          <w:szCs w:val="24"/>
        </w:rPr>
        <w:t>4</w:t>
      </w:r>
      <w:r w:rsidRPr="00206D35">
        <w:rPr>
          <w:sz w:val="24"/>
          <w:szCs w:val="24"/>
        </w:rPr>
        <w:t xml:space="preserve">) Turbasektori heitkoguste vähendamise eesmärgid võrreldes 2022. aasta </w:t>
      </w:r>
      <w:r w:rsidRPr="00DE04E1">
        <w:rPr>
          <w:i/>
          <w:iCs/>
          <w:sz w:val="24"/>
          <w:szCs w:val="24"/>
        </w:rPr>
        <w:t xml:space="preserve">fikseeritud </w:t>
      </w:r>
      <w:r w:rsidRPr="00206D35">
        <w:rPr>
          <w:sz w:val="24"/>
          <w:szCs w:val="24"/>
        </w:rPr>
        <w:t>heitkogusega on järgmised:</w:t>
      </w:r>
    </w:p>
    <w:p w14:paraId="3C069662" w14:textId="77777777" w:rsidR="00E031C5" w:rsidRPr="00206D35" w:rsidRDefault="00E031C5" w:rsidP="00E031C5">
      <w:pPr>
        <w:jc w:val="both"/>
        <w:rPr>
          <w:sz w:val="24"/>
          <w:szCs w:val="24"/>
        </w:rPr>
      </w:pPr>
      <w:r w:rsidRPr="00206D35">
        <w:rPr>
          <w:sz w:val="24"/>
          <w:szCs w:val="24"/>
        </w:rPr>
        <w:t>„3) 2050. aastaks ei ületa kasvuhoonegaaside</w:t>
      </w:r>
      <w:r w:rsidRPr="00206D35">
        <w:rPr>
          <w:i/>
          <w:sz w:val="24"/>
          <w:szCs w:val="24"/>
        </w:rPr>
        <w:t xml:space="preserve"> heite ja sidumise vahe 100 000 t CO</w:t>
      </w:r>
      <w:r w:rsidRPr="00206D35">
        <w:rPr>
          <w:i/>
          <w:sz w:val="24"/>
          <w:szCs w:val="24"/>
          <w:vertAlign w:val="subscript"/>
        </w:rPr>
        <w:t>2</w:t>
      </w:r>
      <w:r w:rsidRPr="00206D35">
        <w:rPr>
          <w:i/>
          <w:sz w:val="24"/>
          <w:szCs w:val="24"/>
        </w:rPr>
        <w:t xml:space="preserve"> ekvivalenti.</w:t>
      </w:r>
      <w:r w:rsidRPr="0001292B">
        <w:rPr>
          <w:sz w:val="24"/>
          <w:szCs w:val="24"/>
        </w:rPr>
        <w:t>“</w:t>
      </w:r>
    </w:p>
    <w:p w14:paraId="63C40A83" w14:textId="77777777" w:rsidR="00E031C5" w:rsidRPr="00206D35" w:rsidRDefault="00E031C5" w:rsidP="00E031C5">
      <w:pPr>
        <w:jc w:val="both"/>
        <w:rPr>
          <w:sz w:val="24"/>
          <w:szCs w:val="24"/>
        </w:rPr>
      </w:pPr>
      <w:r w:rsidRPr="005D2277">
        <w:rPr>
          <w:b/>
          <w:sz w:val="24"/>
          <w:szCs w:val="24"/>
        </w:rPr>
        <w:t xml:space="preserve">Ettepanek 2. </w:t>
      </w:r>
      <w:r w:rsidRPr="005D2277">
        <w:rPr>
          <w:sz w:val="24"/>
          <w:szCs w:val="24"/>
        </w:rPr>
        <w:t>Palume täiendada eelnõu seletuskirja §-i 27 järgnevaga:</w:t>
      </w:r>
    </w:p>
    <w:p w14:paraId="72D4266B" w14:textId="77777777" w:rsidR="00E031C5" w:rsidRPr="00206D35" w:rsidRDefault="00E031C5" w:rsidP="00E031C5">
      <w:pPr>
        <w:jc w:val="both"/>
        <w:rPr>
          <w:sz w:val="24"/>
          <w:szCs w:val="24"/>
        </w:rPr>
      </w:pPr>
      <w:r w:rsidRPr="00206D35">
        <w:rPr>
          <w:sz w:val="24"/>
          <w:szCs w:val="24"/>
        </w:rPr>
        <w:t>„</w:t>
      </w:r>
      <w:r w:rsidRPr="00206D35">
        <w:rPr>
          <w:i/>
          <w:sz w:val="24"/>
          <w:szCs w:val="24"/>
        </w:rPr>
        <w:t>Seaduseelnõus seatakse sektorite ülesed heitkoguste vähendamise eesmärgid võrreldes viimase 2024. aasta märtsis valminud riikliku inventuuri andmetega ehk 2022. aasta kasvuhoonegaaside heitkogusega (v.a turba valdkonnas, kus lähtutakse 2022. a andmetest raporteerituna 2023. a inventuuri metoodika kohaselt, kuna eelnõu väljatöötamise ajal metoodikat juba oluliselt muudeti) järgmiselt:...</w:t>
      </w:r>
      <w:r w:rsidRPr="00206D35">
        <w:rPr>
          <w:sz w:val="24"/>
          <w:szCs w:val="24"/>
        </w:rPr>
        <w:t>“</w:t>
      </w:r>
    </w:p>
    <w:p w14:paraId="2896E440" w14:textId="0E3B6120" w:rsidR="00742572" w:rsidRPr="008C4672" w:rsidRDefault="00742572" w:rsidP="00742572">
      <w:pPr>
        <w:jc w:val="both"/>
        <w:rPr>
          <w:sz w:val="24"/>
          <w:szCs w:val="24"/>
          <w:highlight w:val="yellow"/>
        </w:rPr>
      </w:pPr>
      <w:r>
        <w:rPr>
          <w:rFonts w:eastAsia="Aptos"/>
          <w:kern w:val="2"/>
          <w:sz w:val="24"/>
          <w:szCs w:val="24"/>
          <w14:ligatures w14:val="standardContextual"/>
        </w:rPr>
        <w:t xml:space="preserve">Selgitus: </w:t>
      </w:r>
      <w:r w:rsidRPr="008C4672">
        <w:rPr>
          <w:rFonts w:eastAsia="Aptos"/>
          <w:kern w:val="2"/>
          <w:sz w:val="24"/>
          <w:szCs w:val="24"/>
          <w14:ligatures w14:val="standardContextual"/>
        </w:rPr>
        <w:t xml:space="preserve">MTÜ Turbaliit palus </w:t>
      </w:r>
      <w:r w:rsidRPr="455805A4">
        <w:rPr>
          <w:rFonts w:eastAsia="Aptos"/>
          <w:kern w:val="2"/>
          <w:sz w:val="24"/>
          <w:szCs w:val="24"/>
          <w14:ligatures w14:val="standardContextual"/>
        </w:rPr>
        <w:t xml:space="preserve">Advokaadibüroo Sorainen OÜ-l koostada õigusliku analüüsi, mis kinnitab, et </w:t>
      </w:r>
      <w:r w:rsidRPr="455805A4">
        <w:rPr>
          <w:sz w:val="24"/>
          <w:szCs w:val="24"/>
        </w:rPr>
        <w:t xml:space="preserve">eelnõu on vastuolus põhiseaduse § 3 </w:t>
      </w:r>
      <w:proofErr w:type="spellStart"/>
      <w:r w:rsidRPr="455805A4">
        <w:rPr>
          <w:sz w:val="24"/>
          <w:szCs w:val="24"/>
        </w:rPr>
        <w:t>lg-ga</w:t>
      </w:r>
      <w:proofErr w:type="spellEnd"/>
      <w:r w:rsidRPr="455805A4">
        <w:rPr>
          <w:sz w:val="24"/>
          <w:szCs w:val="24"/>
        </w:rPr>
        <w:t xml:space="preserve"> 1, § 12 </w:t>
      </w:r>
      <w:proofErr w:type="spellStart"/>
      <w:r w:rsidRPr="455805A4">
        <w:rPr>
          <w:sz w:val="24"/>
          <w:szCs w:val="24"/>
        </w:rPr>
        <w:t>lg-ga</w:t>
      </w:r>
      <w:proofErr w:type="spellEnd"/>
      <w:r w:rsidRPr="455805A4">
        <w:rPr>
          <w:sz w:val="24"/>
          <w:szCs w:val="24"/>
        </w:rPr>
        <w:t xml:space="preserve"> 1 ja §-dega 10 ja 31. Turbasektorile seatud eesmärgid toovad kaasa ebavõrdse kohtlemise, ei taga õiguskindlust ning on ebaproportsionaalsed. </w:t>
      </w:r>
      <w:r>
        <w:rPr>
          <w:sz w:val="24"/>
          <w:szCs w:val="24"/>
        </w:rPr>
        <w:t>Õ</w:t>
      </w:r>
      <w:r w:rsidRPr="455805A4">
        <w:rPr>
          <w:sz w:val="24"/>
          <w:szCs w:val="24"/>
        </w:rPr>
        <w:t xml:space="preserve">iguskindluse põhimõttega </w:t>
      </w:r>
      <w:r>
        <w:rPr>
          <w:sz w:val="24"/>
          <w:szCs w:val="24"/>
        </w:rPr>
        <w:t>on vastuolus, et turba</w:t>
      </w:r>
      <w:r w:rsidRPr="455805A4">
        <w:rPr>
          <w:sz w:val="24"/>
          <w:szCs w:val="24"/>
        </w:rPr>
        <w:t xml:space="preserve">sektorile </w:t>
      </w:r>
      <w:r>
        <w:rPr>
          <w:sz w:val="24"/>
          <w:szCs w:val="24"/>
        </w:rPr>
        <w:t xml:space="preserve">ei fikseerita </w:t>
      </w:r>
      <w:r w:rsidRPr="455805A4">
        <w:rPr>
          <w:sz w:val="24"/>
          <w:szCs w:val="24"/>
        </w:rPr>
        <w:t xml:space="preserve">ettenähtavuse tagamiseks üheselt mõistetavaid kasvuhoonegaaside </w:t>
      </w:r>
      <w:r>
        <w:rPr>
          <w:sz w:val="24"/>
          <w:szCs w:val="24"/>
        </w:rPr>
        <w:t xml:space="preserve">(edaspidi </w:t>
      </w:r>
      <w:r w:rsidRPr="006E27F9">
        <w:rPr>
          <w:b/>
          <w:bCs/>
          <w:sz w:val="24"/>
          <w:szCs w:val="24"/>
        </w:rPr>
        <w:t>KHG</w:t>
      </w:r>
      <w:r>
        <w:rPr>
          <w:sz w:val="24"/>
          <w:szCs w:val="24"/>
        </w:rPr>
        <w:t xml:space="preserve">) </w:t>
      </w:r>
      <w:r w:rsidRPr="455805A4">
        <w:rPr>
          <w:sz w:val="24"/>
          <w:szCs w:val="24"/>
        </w:rPr>
        <w:t>koguseid, mida vähendama peab. Kliimaministeeriumile</w:t>
      </w:r>
      <w:r w:rsidRPr="008C4672">
        <w:rPr>
          <w:sz w:val="24"/>
          <w:szCs w:val="24"/>
        </w:rPr>
        <w:t xml:space="preserve"> on teada, et sektori heitmeid arvutav metoodika </w:t>
      </w:r>
      <w:r w:rsidRPr="51FD8895">
        <w:rPr>
          <w:sz w:val="24"/>
          <w:szCs w:val="24"/>
        </w:rPr>
        <w:t xml:space="preserve">on praegu vale ja </w:t>
      </w:r>
      <w:r w:rsidRPr="008C4672">
        <w:rPr>
          <w:sz w:val="24"/>
          <w:szCs w:val="24"/>
        </w:rPr>
        <w:t>lähiajal oluliselt muutu</w:t>
      </w:r>
      <w:r w:rsidRPr="51FD8895">
        <w:rPr>
          <w:sz w:val="24"/>
          <w:szCs w:val="24"/>
        </w:rPr>
        <w:t>b</w:t>
      </w:r>
      <w:r>
        <w:rPr>
          <w:sz w:val="24"/>
          <w:szCs w:val="24"/>
        </w:rPr>
        <w:t xml:space="preserve">, kuid sellegipoolest on sektori </w:t>
      </w:r>
      <w:proofErr w:type="spellStart"/>
      <w:r>
        <w:rPr>
          <w:sz w:val="24"/>
          <w:szCs w:val="24"/>
        </w:rPr>
        <w:t>heitme</w:t>
      </w:r>
      <w:proofErr w:type="spellEnd"/>
      <w:r>
        <w:rPr>
          <w:sz w:val="24"/>
          <w:szCs w:val="24"/>
        </w:rPr>
        <w:t>-eesmärgid jäetud metoodika muutuste määrata</w:t>
      </w:r>
      <w:r w:rsidRPr="008C4672">
        <w:rPr>
          <w:sz w:val="24"/>
          <w:szCs w:val="24"/>
        </w:rPr>
        <w:t>. Eelnõu ei kaitse seega sektorit selle eest, et paari aasta pärast võidakse kasutusele võtta uus metoodika, mis vähendab oluliselt baasaasta arvestuslikku heitkoguste taset. Sellisel juhul pea</w:t>
      </w:r>
      <w:r>
        <w:rPr>
          <w:sz w:val="24"/>
          <w:szCs w:val="24"/>
        </w:rPr>
        <w:t>b turbasektor</w:t>
      </w:r>
      <w:r w:rsidRPr="008C4672">
        <w:rPr>
          <w:sz w:val="24"/>
          <w:szCs w:val="24"/>
        </w:rPr>
        <w:t xml:space="preserve"> heitmeid vähendama veel lühema aja jooksul ja suuremates kogustes</w:t>
      </w:r>
      <w:r w:rsidR="00E43141">
        <w:rPr>
          <w:sz w:val="24"/>
          <w:szCs w:val="24"/>
        </w:rPr>
        <w:t xml:space="preserve"> või isegi ilma põhjus</w:t>
      </w:r>
      <w:r w:rsidR="005B42C1">
        <w:rPr>
          <w:sz w:val="24"/>
          <w:szCs w:val="24"/>
        </w:rPr>
        <w:t>e</w:t>
      </w:r>
      <w:r w:rsidR="00E43141">
        <w:rPr>
          <w:sz w:val="24"/>
          <w:szCs w:val="24"/>
        </w:rPr>
        <w:t>t</w:t>
      </w:r>
      <w:r w:rsidR="005B42C1">
        <w:rPr>
          <w:sz w:val="24"/>
          <w:szCs w:val="24"/>
        </w:rPr>
        <w:t>a</w:t>
      </w:r>
      <w:r w:rsidRPr="008C4672">
        <w:rPr>
          <w:sz w:val="24"/>
          <w:szCs w:val="24"/>
        </w:rPr>
        <w:t>.</w:t>
      </w:r>
      <w:r>
        <w:rPr>
          <w:sz w:val="24"/>
          <w:szCs w:val="24"/>
        </w:rPr>
        <w:t xml:space="preserve"> </w:t>
      </w:r>
      <w:r w:rsidRPr="51FD8895" w:rsidDel="005E5FC9">
        <w:rPr>
          <w:sz w:val="24"/>
          <w:szCs w:val="24"/>
          <w:highlight w:val="yellow"/>
        </w:rPr>
        <w:t xml:space="preserve"> </w:t>
      </w:r>
    </w:p>
    <w:p w14:paraId="6FE4E818" w14:textId="387C8D15" w:rsidR="009E4C28" w:rsidRPr="009E4C28" w:rsidRDefault="00742572" w:rsidP="00742572">
      <w:pPr>
        <w:pStyle w:val="SLONormal"/>
        <w:rPr>
          <w:lang w:val="et-EE"/>
        </w:rPr>
      </w:pPr>
      <w:r w:rsidRPr="00742572">
        <w:rPr>
          <w:lang w:val="et-EE"/>
        </w:rPr>
        <w:lastRenderedPageBreak/>
        <w:t xml:space="preserve">Eelnõu kohaselt peab turbasektor 2050. aastaks saavutama KHG ja heite sidumise tasakaalu (§ 34 lg 4 p 3). Eesmärki on seletuskirjas põhjendatud sellega, et sektor on </w:t>
      </w:r>
      <w:proofErr w:type="spellStart"/>
      <w:r w:rsidRPr="00742572">
        <w:rPr>
          <w:lang w:val="et-EE"/>
        </w:rPr>
        <w:t>heitmemahukas</w:t>
      </w:r>
      <w:proofErr w:type="spellEnd"/>
      <w:r w:rsidRPr="00742572">
        <w:rPr>
          <w:lang w:val="et-EE"/>
        </w:rPr>
        <w:t xml:space="preserve"> ning vajadus on suunata tööstuse teravik kohapealsele turba </w:t>
      </w:r>
      <w:proofErr w:type="spellStart"/>
      <w:r w:rsidRPr="00742572">
        <w:rPr>
          <w:lang w:val="et-EE"/>
        </w:rPr>
        <w:t>väärindamisele</w:t>
      </w:r>
      <w:proofErr w:type="spellEnd"/>
      <w:r w:rsidRPr="00DC2760">
        <w:rPr>
          <w:vertAlign w:val="superscript"/>
        </w:rPr>
        <w:footnoteReference w:id="1"/>
      </w:r>
      <w:r w:rsidRPr="00742572">
        <w:rPr>
          <w:lang w:val="et-EE"/>
        </w:rPr>
        <w:t xml:space="preserve">. Eelnõu põhineb </w:t>
      </w:r>
      <w:proofErr w:type="spellStart"/>
      <w:r w:rsidRPr="00742572">
        <w:rPr>
          <w:lang w:val="et-EE"/>
        </w:rPr>
        <w:t>TalTechi</w:t>
      </w:r>
      <w:proofErr w:type="spellEnd"/>
      <w:r w:rsidRPr="00742572">
        <w:rPr>
          <w:lang w:val="et-EE"/>
        </w:rPr>
        <w:t xml:space="preserve"> uuringul, mille kohaselt on keeruline leida viisi KHG eelarve piiresse mahtumiseks, kui tootmine säilib.</w:t>
      </w:r>
      <w:r w:rsidRPr="00B6156E">
        <w:rPr>
          <w:vertAlign w:val="superscript"/>
        </w:rPr>
        <w:footnoteReference w:id="2"/>
      </w:r>
      <w:r w:rsidR="009E4C28" w:rsidRPr="009E4C28">
        <w:rPr>
          <w:vertAlign w:val="superscript"/>
          <w:lang w:val="et-EE"/>
        </w:rPr>
        <w:t xml:space="preserve"> </w:t>
      </w:r>
      <w:r w:rsidR="00EA3732" w:rsidRPr="009E4C28">
        <w:rPr>
          <w:lang w:val="et-EE"/>
        </w:rPr>
        <w:t>M</w:t>
      </w:r>
      <w:r w:rsidR="00EA3732" w:rsidRPr="00DC2760">
        <w:rPr>
          <w:lang w:val="et-EE"/>
        </w:rPr>
        <w:t xml:space="preserve">itmetes avalikes sõnavõttudes </w:t>
      </w:r>
      <w:r w:rsidR="00EA3732">
        <w:rPr>
          <w:lang w:val="et-EE"/>
        </w:rPr>
        <w:t xml:space="preserve">on </w:t>
      </w:r>
      <w:r w:rsidR="00EA3732" w:rsidRPr="00DC2760">
        <w:rPr>
          <w:lang w:val="et-EE"/>
        </w:rPr>
        <w:t xml:space="preserve">Kliimaministeeriumi ametnikud ekslikult väitnud, et turba tootmise ja kasutuse emissioon moodustab 10% Eesti kasvuhoonegaaside emissioonist. </w:t>
      </w:r>
      <w:r w:rsidR="00EA3732" w:rsidRPr="009E4C28">
        <w:rPr>
          <w:lang w:val="et-EE"/>
        </w:rPr>
        <w:t>See on ebaõige.</w:t>
      </w:r>
    </w:p>
    <w:p w14:paraId="3BA8C114" w14:textId="7E552442" w:rsidR="009E4C28" w:rsidRPr="00970604" w:rsidRDefault="009E4C28" w:rsidP="009E4C28">
      <w:pPr>
        <w:jc w:val="both"/>
        <w:rPr>
          <w:sz w:val="24"/>
          <w:szCs w:val="24"/>
        </w:rPr>
      </w:pPr>
      <w:r w:rsidRPr="455805A4">
        <w:rPr>
          <w:sz w:val="24"/>
          <w:szCs w:val="24"/>
        </w:rPr>
        <w:t>Kliimaministeeriumile</w:t>
      </w:r>
      <w:r w:rsidRPr="008C4672">
        <w:rPr>
          <w:sz w:val="24"/>
          <w:szCs w:val="24"/>
        </w:rPr>
        <w:t xml:space="preserve"> on</w:t>
      </w:r>
      <w:r w:rsidR="00EA3732">
        <w:rPr>
          <w:sz w:val="24"/>
          <w:szCs w:val="24"/>
        </w:rPr>
        <w:t xml:space="preserve"> </w:t>
      </w:r>
      <w:r w:rsidRPr="008C4672">
        <w:rPr>
          <w:sz w:val="24"/>
          <w:szCs w:val="24"/>
        </w:rPr>
        <w:t>teada, et sektori heitmeid arvutav metoodika on praegu vale ja lähiajal oluliselt muutu</w:t>
      </w:r>
      <w:r w:rsidRPr="51FD8895">
        <w:rPr>
          <w:sz w:val="24"/>
          <w:szCs w:val="24"/>
        </w:rPr>
        <w:t>b</w:t>
      </w:r>
      <w:r w:rsidRPr="008C4672">
        <w:rPr>
          <w:sz w:val="24"/>
          <w:szCs w:val="24"/>
        </w:rPr>
        <w:t xml:space="preserve">. </w:t>
      </w:r>
      <w:r>
        <w:rPr>
          <w:sz w:val="24"/>
          <w:szCs w:val="24"/>
        </w:rPr>
        <w:t>I</w:t>
      </w:r>
      <w:r w:rsidRPr="00DC2760">
        <w:rPr>
          <w:sz w:val="24"/>
          <w:szCs w:val="24"/>
        </w:rPr>
        <w:t>nventuuri metoodika on</w:t>
      </w:r>
      <w:r>
        <w:rPr>
          <w:sz w:val="24"/>
          <w:szCs w:val="24"/>
        </w:rPr>
        <w:t xml:space="preserve"> tegelikkuses</w:t>
      </w:r>
      <w:r w:rsidRPr="00DC2760">
        <w:rPr>
          <w:sz w:val="24"/>
          <w:szCs w:val="24"/>
        </w:rPr>
        <w:t xml:space="preserve"> uuendamisel ja paljudel juhtudel </w:t>
      </w:r>
      <w:r w:rsidRPr="00961A1C">
        <w:rPr>
          <w:sz w:val="24"/>
          <w:szCs w:val="24"/>
        </w:rPr>
        <w:t>tegeleb</w:t>
      </w:r>
      <w:r>
        <w:rPr>
          <w:sz w:val="24"/>
          <w:szCs w:val="24"/>
        </w:rPr>
        <w:t xml:space="preserve"> </w:t>
      </w:r>
      <w:r w:rsidRPr="00DC2760">
        <w:rPr>
          <w:sz w:val="24"/>
          <w:szCs w:val="24"/>
        </w:rPr>
        <w:t>riik ka ise vastava arendustegevusega. Vahepeal avaldatud uuringute tulemused kinnitavad, et turb</w:t>
      </w:r>
      <w:r>
        <w:rPr>
          <w:sz w:val="24"/>
          <w:szCs w:val="24"/>
        </w:rPr>
        <w:t>a</w:t>
      </w:r>
      <w:r w:rsidRPr="00DC2760">
        <w:rPr>
          <w:sz w:val="24"/>
          <w:szCs w:val="24"/>
        </w:rPr>
        <w:t>sektor mahub talle kuni 2050. aastani eraldatud kasvuhoonegaaside eelarvesse tänaseid tootmismahtusid piiramata, rakendades teadus-arendustegevus</w:t>
      </w:r>
      <w:r>
        <w:rPr>
          <w:sz w:val="24"/>
          <w:szCs w:val="24"/>
        </w:rPr>
        <w:t>te</w:t>
      </w:r>
      <w:r w:rsidRPr="00DC2760">
        <w:rPr>
          <w:sz w:val="24"/>
          <w:szCs w:val="24"/>
        </w:rPr>
        <w:t xml:space="preserve"> </w:t>
      </w:r>
      <w:r w:rsidRPr="00F04B0C">
        <w:rPr>
          <w:sz w:val="24"/>
          <w:szCs w:val="24"/>
        </w:rPr>
        <w:t>tulemusi</w:t>
      </w:r>
      <w:r w:rsidRPr="00A6635D">
        <w:rPr>
          <w:sz w:val="24"/>
          <w:szCs w:val="24"/>
        </w:rPr>
        <w:t xml:space="preserve"> </w:t>
      </w:r>
      <w:r>
        <w:rPr>
          <w:sz w:val="24"/>
          <w:szCs w:val="24"/>
        </w:rPr>
        <w:t xml:space="preserve">ja </w:t>
      </w:r>
      <w:r w:rsidRPr="00A6635D">
        <w:rPr>
          <w:sz w:val="24"/>
          <w:szCs w:val="24"/>
        </w:rPr>
        <w:t>leevendusmeetmeid</w:t>
      </w:r>
      <w:r>
        <w:rPr>
          <w:sz w:val="24"/>
          <w:szCs w:val="24"/>
        </w:rPr>
        <w:t xml:space="preserve"> ning</w:t>
      </w:r>
      <w:r w:rsidRPr="00DC2760">
        <w:rPr>
          <w:sz w:val="24"/>
          <w:szCs w:val="24"/>
        </w:rPr>
        <w:t xml:space="preserve"> viies ellu </w:t>
      </w:r>
      <w:r w:rsidRPr="00970604">
        <w:rPr>
          <w:sz w:val="24"/>
          <w:szCs w:val="24"/>
        </w:rPr>
        <w:t>tehnoloogilisi uuendusi.</w:t>
      </w:r>
      <w:r w:rsidR="005F48BD">
        <w:rPr>
          <w:sz w:val="24"/>
          <w:szCs w:val="24"/>
        </w:rPr>
        <w:t xml:space="preserve"> Seega on </w:t>
      </w:r>
      <w:proofErr w:type="spellStart"/>
      <w:r w:rsidR="005F48BD">
        <w:rPr>
          <w:sz w:val="24"/>
          <w:szCs w:val="24"/>
        </w:rPr>
        <w:t>Tal</w:t>
      </w:r>
      <w:r w:rsidR="00D6257D">
        <w:rPr>
          <w:sz w:val="24"/>
          <w:szCs w:val="24"/>
        </w:rPr>
        <w:t>T</w:t>
      </w:r>
      <w:r w:rsidR="005F48BD">
        <w:rPr>
          <w:sz w:val="24"/>
          <w:szCs w:val="24"/>
        </w:rPr>
        <w:t>ech’i</w:t>
      </w:r>
      <w:proofErr w:type="spellEnd"/>
      <w:r w:rsidR="005F48BD">
        <w:rPr>
          <w:sz w:val="24"/>
          <w:szCs w:val="24"/>
        </w:rPr>
        <w:t xml:space="preserve"> </w:t>
      </w:r>
      <w:r w:rsidR="00D6257D">
        <w:rPr>
          <w:sz w:val="24"/>
          <w:szCs w:val="24"/>
        </w:rPr>
        <w:t>töös toodud järeldus kehtiv üksnes tingimuslikult</w:t>
      </w:r>
      <w:r w:rsidR="00185FC2">
        <w:rPr>
          <w:sz w:val="24"/>
          <w:szCs w:val="24"/>
        </w:rPr>
        <w:t xml:space="preserve"> ja sektori tegevuse piiramine ei ole põhjendatud kuna kliimaeesmärgid on täidetavad</w:t>
      </w:r>
      <w:r w:rsidR="0073192C">
        <w:rPr>
          <w:sz w:val="24"/>
          <w:szCs w:val="24"/>
        </w:rPr>
        <w:t xml:space="preserve"> ka teisiti</w:t>
      </w:r>
      <w:r w:rsidR="00185FC2">
        <w:rPr>
          <w:sz w:val="24"/>
          <w:szCs w:val="24"/>
        </w:rPr>
        <w:t>.</w:t>
      </w:r>
    </w:p>
    <w:p w14:paraId="5403E685" w14:textId="1F4B7CB5" w:rsidR="009E4C28" w:rsidRPr="00970604" w:rsidRDefault="009E4C28" w:rsidP="009E4C28">
      <w:pPr>
        <w:jc w:val="both"/>
        <w:rPr>
          <w:sz w:val="24"/>
          <w:szCs w:val="24"/>
        </w:rPr>
      </w:pPr>
      <w:r w:rsidRPr="00970604">
        <w:rPr>
          <w:sz w:val="24"/>
          <w:szCs w:val="24"/>
        </w:rPr>
        <w:t xml:space="preserve">Kliimaministeerium on moodustanud </w:t>
      </w:r>
      <w:r>
        <w:rPr>
          <w:sz w:val="24"/>
          <w:szCs w:val="24"/>
        </w:rPr>
        <w:t xml:space="preserve">ka </w:t>
      </w:r>
      <w:r w:rsidRPr="00970604">
        <w:rPr>
          <w:sz w:val="24"/>
          <w:szCs w:val="24"/>
        </w:rPr>
        <w:t xml:space="preserve">asekantsleri tasemel eraldi töörühma „Maa- ja mullakasutuse juhtimissüsteem mullastiku teenuste efektiivseks ja jätkusuutlikuks kasutamiseks, elurikkuse kaitseks ja kliimamõju vähendamiseks.” Näiteks selgub juhtrühma </w:t>
      </w:r>
      <w:r w:rsidRPr="00561E7E">
        <w:rPr>
          <w:sz w:val="24"/>
          <w:szCs w:val="24"/>
        </w:rPr>
        <w:t>protokollist, et töörühm otsib võimalusi kuidas metoodika arendamise kaudu aruandluse kvaliteeti parandada ja Eesti emissioone vähendada</w:t>
      </w:r>
      <w:r w:rsidRPr="00561E7E">
        <w:rPr>
          <w:rStyle w:val="Allmrkuseviide"/>
          <w:sz w:val="24"/>
          <w:szCs w:val="24"/>
        </w:rPr>
        <w:footnoteReference w:id="3"/>
      </w:r>
      <w:r w:rsidRPr="00561E7E">
        <w:rPr>
          <w:sz w:val="24"/>
          <w:szCs w:val="24"/>
        </w:rPr>
        <w:t xml:space="preserve">. Viidatud töörühma protokollide kaudu tunnistab riik, et turba puhul esineb praeguses raporteerimise metoodikas vigu, kuid ei ole nõus seda avalikult tunnistama. Teisalt tõendab riigi tegevus, et metoodika arendamine on aruandluse ja kliimaeesmärkides saavutamise seisukohast põhjendatud ja vajalik. Seega riik viib ellu tegevusi, millele </w:t>
      </w:r>
      <w:r w:rsidR="005023C3">
        <w:rPr>
          <w:sz w:val="24"/>
          <w:szCs w:val="24"/>
        </w:rPr>
        <w:t xml:space="preserve">vajadusele on </w:t>
      </w:r>
      <w:r w:rsidRPr="00561E7E">
        <w:rPr>
          <w:sz w:val="24"/>
          <w:szCs w:val="24"/>
        </w:rPr>
        <w:t>sektor korduvalt viidanud</w:t>
      </w:r>
      <w:r w:rsidR="00E932A2">
        <w:rPr>
          <w:sz w:val="24"/>
          <w:szCs w:val="24"/>
        </w:rPr>
        <w:t xml:space="preserve">, kuid mida </w:t>
      </w:r>
      <w:r w:rsidRPr="00561E7E">
        <w:rPr>
          <w:sz w:val="24"/>
          <w:szCs w:val="24"/>
        </w:rPr>
        <w:t xml:space="preserve">riik turbasektori puhul </w:t>
      </w:r>
      <w:r w:rsidR="00E932A2">
        <w:rPr>
          <w:sz w:val="24"/>
          <w:szCs w:val="24"/>
        </w:rPr>
        <w:t xml:space="preserve">emissiooni vähendamise </w:t>
      </w:r>
      <w:r w:rsidRPr="00561E7E">
        <w:rPr>
          <w:sz w:val="24"/>
          <w:szCs w:val="24"/>
        </w:rPr>
        <w:t xml:space="preserve">meetmena ei arvesta, samas kui kavatseb </w:t>
      </w:r>
      <w:r w:rsidR="00E932A2">
        <w:rPr>
          <w:sz w:val="24"/>
          <w:szCs w:val="24"/>
        </w:rPr>
        <w:t xml:space="preserve">seda </w:t>
      </w:r>
      <w:r w:rsidRPr="00561E7E">
        <w:rPr>
          <w:sz w:val="24"/>
          <w:szCs w:val="24"/>
        </w:rPr>
        <w:t>arvestada teistes maakasutuse kategooriates. Tegu on põhjendamatu ebavõrdse kohtlemisega.</w:t>
      </w:r>
    </w:p>
    <w:p w14:paraId="34AF5662" w14:textId="175369A3" w:rsidR="009E4C28" w:rsidRPr="00561E7E" w:rsidRDefault="009E4C28" w:rsidP="009E4C28">
      <w:pPr>
        <w:pStyle w:val="SLONormal"/>
        <w:rPr>
          <w:lang w:val="et-EE"/>
        </w:rPr>
      </w:pPr>
      <w:r w:rsidRPr="009E4C28">
        <w:rPr>
          <w:lang w:val="et-EE"/>
        </w:rPr>
        <w:t>Eelnõu ei kaitse seega sektorit selle eest, et paari aasta pärast võidakse kasutusele võtta uus metoodika, mis vähendab oluliselt</w:t>
      </w:r>
      <w:r w:rsidR="00E932A2">
        <w:rPr>
          <w:lang w:val="et-EE"/>
        </w:rPr>
        <w:t xml:space="preserve">, </w:t>
      </w:r>
      <w:r w:rsidR="00C52C56">
        <w:rPr>
          <w:lang w:val="et-EE"/>
        </w:rPr>
        <w:t xml:space="preserve">isegi </w:t>
      </w:r>
      <w:r w:rsidR="00E932A2">
        <w:rPr>
          <w:lang w:val="et-EE"/>
        </w:rPr>
        <w:t xml:space="preserve">kuni 50% metoodika muutmise eelse seisuga võrreldes, </w:t>
      </w:r>
      <w:r w:rsidRPr="009E4C28">
        <w:rPr>
          <w:lang w:val="et-EE"/>
        </w:rPr>
        <w:t xml:space="preserve">baasaasta arvestuslikku heitkoguste taset. Sellisel juhul peab turbasektor heitmeid vähendama veel lühema aja jooksul ja suuremates kogustes. Järelikult tuleb ettenähtavuse tagamiseks baasaasta heitkogused fikseerida. </w:t>
      </w:r>
      <w:r w:rsidRPr="00DC2760">
        <w:rPr>
          <w:lang w:val="et-EE"/>
        </w:rPr>
        <w:t>Metoodika arendamine on vastavuses raporteerimise põhimõtetega ja E</w:t>
      </w:r>
      <w:r>
        <w:rPr>
          <w:lang w:val="et-EE"/>
        </w:rPr>
        <w:t xml:space="preserve">uroopa </w:t>
      </w:r>
      <w:r w:rsidRPr="00DC2760">
        <w:rPr>
          <w:lang w:val="et-EE"/>
        </w:rPr>
        <w:t>L</w:t>
      </w:r>
      <w:r>
        <w:rPr>
          <w:lang w:val="et-EE"/>
        </w:rPr>
        <w:t>iidu</w:t>
      </w:r>
      <w:r w:rsidRPr="00DC2760">
        <w:rPr>
          <w:lang w:val="et-EE"/>
        </w:rPr>
        <w:t xml:space="preserve"> tasemel LULUCF määruses kohustuslikuks tehtud. </w:t>
      </w:r>
    </w:p>
    <w:p w14:paraId="4591ADD1" w14:textId="77777777" w:rsidR="009E4C28" w:rsidRDefault="009E4C28" w:rsidP="009E4C28">
      <w:pPr>
        <w:jc w:val="both"/>
        <w:rPr>
          <w:sz w:val="24"/>
          <w:szCs w:val="24"/>
        </w:rPr>
      </w:pPr>
      <w:r>
        <w:rPr>
          <w:rFonts w:eastAsia="Aptos"/>
          <w:sz w:val="24"/>
          <w:szCs w:val="24"/>
        </w:rPr>
        <w:t>Lisaks on e</w:t>
      </w:r>
      <w:r w:rsidRPr="36314C03">
        <w:rPr>
          <w:rFonts w:eastAsia="Aptos"/>
          <w:sz w:val="24"/>
          <w:szCs w:val="24"/>
        </w:rPr>
        <w:t xml:space="preserve">elnõu mõjud sektorile jäetud sisuliselt hindamata. Eelnõu seletuskirja lehekülje 89 kohaselt hinnatakse mõju sektorile </w:t>
      </w:r>
      <w:r w:rsidRPr="008C4672">
        <w:rPr>
          <w:sz w:val="24"/>
          <w:szCs w:val="24"/>
        </w:rPr>
        <w:t xml:space="preserve">maapõueseaduse koostamisel, kuigi juba olemasolevaid eesmärke arvestades on </w:t>
      </w:r>
      <w:r w:rsidRPr="36314C03">
        <w:rPr>
          <w:rFonts w:eastAsia="Aptos"/>
          <w:sz w:val="24"/>
          <w:szCs w:val="24"/>
        </w:rPr>
        <w:t xml:space="preserve">prognoositud töökohtade ja müügitulu langus 2040. aastaks kuni 45%. Üksnes turbasektorile on seatud aastaks 2050 kliimaneutraalsuse eesmärk. Seejuures tähendab kliimaneutraalsuse eesmärk </w:t>
      </w:r>
      <w:r w:rsidRPr="4A929BA2">
        <w:rPr>
          <w:rFonts w:eastAsia="Aptos"/>
          <w:sz w:val="24"/>
          <w:szCs w:val="24"/>
        </w:rPr>
        <w:t>sektorile</w:t>
      </w:r>
      <w:r w:rsidRPr="36314C03">
        <w:rPr>
          <w:rFonts w:eastAsia="Aptos"/>
          <w:sz w:val="24"/>
          <w:szCs w:val="24"/>
        </w:rPr>
        <w:t xml:space="preserve"> sisuliselt turbatootmise lõpetamist. Hea õigusloome tava </w:t>
      </w:r>
      <w:r w:rsidRPr="008C4672">
        <w:rPr>
          <w:sz w:val="24"/>
          <w:szCs w:val="24"/>
        </w:rPr>
        <w:t xml:space="preserve">nõuab põhjalikult eelnõu mõjude analüüsimist, sh sotsiaalse ja majandusliku mõju analüüsi. </w:t>
      </w:r>
      <w:r w:rsidRPr="008C4672">
        <w:rPr>
          <w:sz w:val="24"/>
          <w:szCs w:val="24"/>
        </w:rPr>
        <w:lastRenderedPageBreak/>
        <w:t xml:space="preserve">Eelnõus ei ole hinnatud ka põhiseaduspärasust – seletuskirjast ei leia ebavõrdse kohtlemise ega </w:t>
      </w:r>
      <w:r w:rsidRPr="775BE6EC">
        <w:rPr>
          <w:sz w:val="24"/>
          <w:szCs w:val="24"/>
        </w:rPr>
        <w:t xml:space="preserve">metoodika muutustest tuleneva ettevõtlusvabaduse riive proportsionaalsuse analüüsi. </w:t>
      </w:r>
    </w:p>
    <w:p w14:paraId="00C5F7F5" w14:textId="41EB5FA9" w:rsidR="009E4C28" w:rsidRPr="00206D35" w:rsidRDefault="009E4C28" w:rsidP="009E4C28">
      <w:pPr>
        <w:jc w:val="both"/>
        <w:rPr>
          <w:sz w:val="24"/>
          <w:szCs w:val="24"/>
        </w:rPr>
      </w:pPr>
      <w:r w:rsidRPr="00206D35">
        <w:rPr>
          <w:b/>
          <w:sz w:val="24"/>
          <w:szCs w:val="24"/>
        </w:rPr>
        <w:t xml:space="preserve">Ettepanek 3. </w:t>
      </w:r>
      <w:r w:rsidRPr="00206D35">
        <w:rPr>
          <w:sz w:val="24"/>
          <w:szCs w:val="24"/>
        </w:rPr>
        <w:t>Palume täpsustada</w:t>
      </w:r>
      <w:r>
        <w:rPr>
          <w:sz w:val="24"/>
          <w:szCs w:val="24"/>
        </w:rPr>
        <w:t xml:space="preserve"> eelnõu</w:t>
      </w:r>
      <w:r w:rsidRPr="00206D35">
        <w:rPr>
          <w:sz w:val="24"/>
          <w:szCs w:val="24"/>
        </w:rPr>
        <w:t xml:space="preserve"> </w:t>
      </w:r>
      <w:r w:rsidRPr="313ED7D1">
        <w:rPr>
          <w:sz w:val="24"/>
          <w:szCs w:val="24"/>
        </w:rPr>
        <w:t>§</w:t>
      </w:r>
      <w:r>
        <w:rPr>
          <w:sz w:val="24"/>
          <w:szCs w:val="24"/>
        </w:rPr>
        <w:t>-i</w:t>
      </w:r>
      <w:r w:rsidRPr="00206D35">
        <w:rPr>
          <w:sz w:val="24"/>
          <w:szCs w:val="24"/>
        </w:rPr>
        <w:t xml:space="preserve"> 54</w:t>
      </w:r>
      <w:r>
        <w:rPr>
          <w:sz w:val="24"/>
          <w:szCs w:val="24"/>
        </w:rPr>
        <w:t xml:space="preserve"> selliselt</w:t>
      </w:r>
      <w:r w:rsidRPr="23A09750">
        <w:rPr>
          <w:sz w:val="24"/>
          <w:szCs w:val="24"/>
        </w:rPr>
        <w:t>, et</w:t>
      </w:r>
      <w:r>
        <w:rPr>
          <w:sz w:val="24"/>
          <w:szCs w:val="24"/>
        </w:rPr>
        <w:t xml:space="preserve"> 2026.</w:t>
      </w:r>
      <w:r w:rsidRPr="313ED7D1">
        <w:rPr>
          <w:sz w:val="24"/>
          <w:szCs w:val="24"/>
        </w:rPr>
        <w:t xml:space="preserve"> aasta</w:t>
      </w:r>
      <w:r>
        <w:rPr>
          <w:sz w:val="24"/>
          <w:szCs w:val="24"/>
        </w:rPr>
        <w:t xml:space="preserve"> asemel tuleb muudatused töötada välja hiljemalt 2029. aastaks, sest </w:t>
      </w:r>
      <w:r w:rsidRPr="313ED7D1">
        <w:rPr>
          <w:sz w:val="24"/>
          <w:szCs w:val="24"/>
        </w:rPr>
        <w:t>teadu</w:t>
      </w:r>
      <w:r>
        <w:rPr>
          <w:sz w:val="24"/>
          <w:szCs w:val="24"/>
        </w:rPr>
        <w:t>s</w:t>
      </w:r>
      <w:r w:rsidRPr="313ED7D1">
        <w:rPr>
          <w:sz w:val="24"/>
          <w:szCs w:val="24"/>
        </w:rPr>
        <w:t>töö</w:t>
      </w:r>
      <w:r>
        <w:rPr>
          <w:sz w:val="24"/>
          <w:szCs w:val="24"/>
        </w:rPr>
        <w:t xml:space="preserve"> tulemused valmivad 2028</w:t>
      </w:r>
      <w:r w:rsidRPr="23A09750">
        <w:rPr>
          <w:sz w:val="24"/>
          <w:szCs w:val="24"/>
        </w:rPr>
        <w:t>.</w:t>
      </w:r>
      <w:r>
        <w:rPr>
          <w:sz w:val="24"/>
          <w:szCs w:val="24"/>
        </w:rPr>
        <w:t xml:space="preserve"> </w:t>
      </w:r>
      <w:r w:rsidRPr="23A09750">
        <w:rPr>
          <w:sz w:val="24"/>
          <w:szCs w:val="24"/>
        </w:rPr>
        <w:t>aastal</w:t>
      </w:r>
      <w:r>
        <w:rPr>
          <w:sz w:val="24"/>
          <w:szCs w:val="24"/>
        </w:rPr>
        <w:t xml:space="preserve"> </w:t>
      </w:r>
      <w:r w:rsidRPr="00206D35">
        <w:rPr>
          <w:sz w:val="24"/>
          <w:szCs w:val="24"/>
        </w:rPr>
        <w:t>(</w:t>
      </w:r>
      <w:r w:rsidRPr="00206D35">
        <w:rPr>
          <w:i/>
          <w:sz w:val="24"/>
          <w:szCs w:val="24"/>
        </w:rPr>
        <w:t>täpsustus kaldkirjas</w:t>
      </w:r>
      <w:r w:rsidRPr="775BE6EC">
        <w:rPr>
          <w:sz w:val="24"/>
          <w:szCs w:val="24"/>
        </w:rPr>
        <w:t>):</w:t>
      </w:r>
    </w:p>
    <w:p w14:paraId="45C61AFD" w14:textId="77777777" w:rsidR="009E4C28" w:rsidRPr="00206D35" w:rsidRDefault="009E4C28" w:rsidP="009E4C28">
      <w:pPr>
        <w:jc w:val="both"/>
        <w:rPr>
          <w:sz w:val="24"/>
          <w:szCs w:val="24"/>
        </w:rPr>
      </w:pPr>
      <w:r w:rsidRPr="00206D35">
        <w:rPr>
          <w:sz w:val="24"/>
          <w:szCs w:val="24"/>
        </w:rPr>
        <w:t xml:space="preserve">„Kliimaministeerium töötab välja käesoleva seaduse § 34 lõikes 4 sätestatud turbasektori eesmärkide saavutamiseks vajalikud turba kaevandamise põhimõtete muudatused ja esitab maapõueseaduse muutmiseks ettepaneku </w:t>
      </w:r>
      <w:r w:rsidRPr="00206D35">
        <w:rPr>
          <w:i/>
          <w:sz w:val="24"/>
          <w:szCs w:val="24"/>
        </w:rPr>
        <w:t>2029.</w:t>
      </w:r>
      <w:r w:rsidRPr="00206D35">
        <w:rPr>
          <w:sz w:val="24"/>
          <w:szCs w:val="24"/>
        </w:rPr>
        <w:t xml:space="preserve"> aasta 1. jaanuariks, vajaduse korral ka ettepanekud maapõueseaduse alusel antud õigusaktide muutmiseks.“</w:t>
      </w:r>
    </w:p>
    <w:p w14:paraId="5C064376" w14:textId="77777777" w:rsidR="009E4C28" w:rsidRPr="002030EA" w:rsidRDefault="009E4C28" w:rsidP="009E4C28">
      <w:pPr>
        <w:jc w:val="both"/>
        <w:rPr>
          <w:sz w:val="24"/>
          <w:szCs w:val="24"/>
        </w:rPr>
      </w:pPr>
      <w:r w:rsidRPr="000539D9">
        <w:rPr>
          <w:b/>
          <w:bCs/>
          <w:sz w:val="24"/>
          <w:szCs w:val="24"/>
        </w:rPr>
        <w:t xml:space="preserve">Selgitus: </w:t>
      </w:r>
      <w:r>
        <w:rPr>
          <w:sz w:val="24"/>
          <w:szCs w:val="24"/>
        </w:rPr>
        <w:t>E</w:t>
      </w:r>
      <w:r w:rsidRPr="002030EA">
        <w:rPr>
          <w:sz w:val="24"/>
          <w:szCs w:val="24"/>
        </w:rPr>
        <w:t xml:space="preserve">elnõu näeb ette, et turbasektori eesmärkide saavutamiseks vajalikud turba kaevandamise põhimõtete muudatused töötatakse välja maapõueseadusega 2026. aasta 1. jaanuariks. Nii lühikese tähtaja määratlemine ei ole põhjendatud, sest eelnõuga kavandatud turbarevisjon (vt seletuskiri, lk 83) valmib </w:t>
      </w:r>
      <w:r>
        <w:rPr>
          <w:sz w:val="24"/>
          <w:szCs w:val="24"/>
        </w:rPr>
        <w:t>lepingu</w:t>
      </w:r>
      <w:r>
        <w:rPr>
          <w:rStyle w:val="Allmrkuseviide"/>
          <w:sz w:val="24"/>
          <w:szCs w:val="24"/>
        </w:rPr>
        <w:footnoteReference w:id="4"/>
      </w:r>
      <w:r>
        <w:rPr>
          <w:sz w:val="24"/>
          <w:szCs w:val="24"/>
        </w:rPr>
        <w:t xml:space="preserve"> </w:t>
      </w:r>
      <w:r w:rsidRPr="002030EA">
        <w:rPr>
          <w:sz w:val="24"/>
          <w:szCs w:val="24"/>
        </w:rPr>
        <w:t xml:space="preserve">kohaselt alles 2028. aastal. </w:t>
      </w:r>
      <w:r>
        <w:rPr>
          <w:sz w:val="24"/>
          <w:szCs w:val="24"/>
        </w:rPr>
        <w:t xml:space="preserve">Turbrevisjoni raames valminud teadusuuringu eesmärk on töötada välja riikliku kasvuhoonegaaside inventuuri mõistes </w:t>
      </w:r>
      <w:proofErr w:type="spellStart"/>
      <w:r w:rsidRPr="23A09750">
        <w:rPr>
          <w:sz w:val="24"/>
          <w:szCs w:val="24"/>
        </w:rPr>
        <w:t>turbatootmisalade</w:t>
      </w:r>
      <w:proofErr w:type="spellEnd"/>
      <w:r>
        <w:rPr>
          <w:sz w:val="24"/>
          <w:szCs w:val="24"/>
        </w:rPr>
        <w:t>, sh korrastatud alade, heite hindamise metoodika. Järelikult</w:t>
      </w:r>
      <w:r w:rsidRPr="313ED7D1">
        <w:rPr>
          <w:sz w:val="24"/>
          <w:szCs w:val="24"/>
        </w:rPr>
        <w:t xml:space="preserve"> </w:t>
      </w:r>
      <w:r w:rsidRPr="002030EA">
        <w:rPr>
          <w:sz w:val="24"/>
          <w:szCs w:val="24"/>
        </w:rPr>
        <w:t>peavad</w:t>
      </w:r>
      <w:r>
        <w:rPr>
          <w:sz w:val="24"/>
          <w:szCs w:val="24"/>
        </w:rPr>
        <w:t xml:space="preserve"> a</w:t>
      </w:r>
      <w:r w:rsidRPr="002030EA">
        <w:rPr>
          <w:sz w:val="24"/>
          <w:szCs w:val="24"/>
        </w:rPr>
        <w:t xml:space="preserve">nalüüsi tulemused olema aluseks turbasektori </w:t>
      </w:r>
      <w:r>
        <w:rPr>
          <w:sz w:val="24"/>
          <w:szCs w:val="24"/>
        </w:rPr>
        <w:t>eesmärkide täitmiseks</w:t>
      </w:r>
      <w:r w:rsidRPr="002030EA">
        <w:rPr>
          <w:sz w:val="24"/>
          <w:szCs w:val="24"/>
        </w:rPr>
        <w:t xml:space="preserve"> vajalike meetmete analüüsimisele</w:t>
      </w:r>
      <w:r>
        <w:rPr>
          <w:sz w:val="24"/>
          <w:szCs w:val="24"/>
        </w:rPr>
        <w:t xml:space="preserve"> ning planeerimisele</w:t>
      </w:r>
      <w:r w:rsidRPr="002030EA">
        <w:rPr>
          <w:sz w:val="24"/>
          <w:szCs w:val="24"/>
        </w:rPr>
        <w:t xml:space="preserve">. </w:t>
      </w:r>
      <w:r>
        <w:rPr>
          <w:sz w:val="24"/>
          <w:szCs w:val="24"/>
        </w:rPr>
        <w:t xml:space="preserve">Seadusmuudatused peavad tuginema teadustööle, mitte vastupidi. </w:t>
      </w:r>
    </w:p>
    <w:p w14:paraId="7756EC37" w14:textId="77777777" w:rsidR="009E4C28" w:rsidRPr="00127E3A" w:rsidRDefault="009E4C28" w:rsidP="00095A64">
      <w:pPr>
        <w:spacing w:after="0"/>
        <w:jc w:val="both"/>
        <w:rPr>
          <w:rFonts w:eastAsia="Aptos"/>
          <w:kern w:val="2"/>
          <w:sz w:val="24"/>
          <w:szCs w:val="24"/>
          <w14:ligatures w14:val="standardContextual"/>
        </w:rPr>
      </w:pPr>
      <w:r w:rsidRPr="00127E3A">
        <w:rPr>
          <w:rFonts w:eastAsia="Aptos"/>
          <w:kern w:val="2"/>
          <w:sz w:val="24"/>
          <w:szCs w:val="24"/>
          <w14:ligatures w14:val="standardContextual"/>
        </w:rPr>
        <w:t>Eeltoodud põhjustel tuleb eelnõu jätta kooskõlastamata. Lähtudes siiski asjaolust, et eelnõu menetlemisega on kiire ehk eelduslikult ei pöörduta tagasi mõjude sisulise hindamise faasi, teeme alternatiivsed ettepanekud, millega on võimalik tagada eelnõu põhiseaduspärasus ning sektorile vajalik ettenähtavus:</w:t>
      </w:r>
    </w:p>
    <w:p w14:paraId="3C5D7439" w14:textId="77777777" w:rsidR="00DE6A83" w:rsidRDefault="00DE6A83" w:rsidP="00095A64">
      <w:pPr>
        <w:spacing w:after="0"/>
        <w:jc w:val="both"/>
        <w:rPr>
          <w:rFonts w:eastAsia="Aptos" w:cstheme="minorHAnsi"/>
          <w:kern w:val="2"/>
          <w:sz w:val="24"/>
          <w:szCs w:val="24"/>
          <w14:ligatures w14:val="standardContextual"/>
        </w:rPr>
      </w:pPr>
    </w:p>
    <w:p w14:paraId="4EBDF12E" w14:textId="67DA4A33" w:rsidR="00DE6A83" w:rsidRDefault="00DE6A83" w:rsidP="00095A64">
      <w:pPr>
        <w:spacing w:after="0"/>
        <w:jc w:val="both"/>
        <w:rPr>
          <w:rFonts w:eastAsia="Aptos" w:cstheme="minorHAnsi"/>
          <w:kern w:val="2"/>
          <w:sz w:val="24"/>
          <w:szCs w:val="24"/>
          <w14:ligatures w14:val="standardContextual"/>
        </w:rPr>
      </w:pPr>
      <w:r>
        <w:rPr>
          <w:rFonts w:eastAsia="Aptos" w:cstheme="minorHAnsi"/>
          <w:kern w:val="2"/>
          <w:sz w:val="24"/>
          <w:szCs w:val="24"/>
          <w14:ligatures w14:val="standardContextual"/>
        </w:rPr>
        <w:t>Lisa: Advokaadibüroo Sorainen OÜ õiguslik analüüs kliimakindla majanduse seaduse eelnõu kohta.</w:t>
      </w:r>
    </w:p>
    <w:p w14:paraId="5CB0FED4" w14:textId="77777777" w:rsidR="009E4C28" w:rsidRDefault="009E4C28" w:rsidP="00095A64">
      <w:pPr>
        <w:spacing w:after="0"/>
        <w:jc w:val="both"/>
        <w:rPr>
          <w:rFonts w:eastAsia="Aptos" w:cstheme="minorHAnsi"/>
          <w:kern w:val="2"/>
          <w:sz w:val="24"/>
          <w:szCs w:val="24"/>
          <w14:ligatures w14:val="standardContextual"/>
        </w:rPr>
      </w:pPr>
    </w:p>
    <w:p w14:paraId="4CDCBF02" w14:textId="77777777" w:rsidR="00095A64" w:rsidRDefault="00095A64" w:rsidP="00095A64">
      <w:pPr>
        <w:spacing w:after="0"/>
        <w:jc w:val="both"/>
        <w:rPr>
          <w:rFonts w:eastAsia="Aptos" w:cstheme="minorHAnsi"/>
          <w:kern w:val="2"/>
          <w:sz w:val="24"/>
          <w:szCs w:val="24"/>
          <w14:ligatures w14:val="standardContextual"/>
        </w:rPr>
      </w:pPr>
    </w:p>
    <w:p w14:paraId="35FD9A45" w14:textId="77777777" w:rsidR="00E031C5" w:rsidRDefault="00E031C5" w:rsidP="00095A64">
      <w:pPr>
        <w:spacing w:after="0"/>
        <w:jc w:val="both"/>
        <w:rPr>
          <w:rFonts w:eastAsia="Aptos" w:cstheme="minorHAnsi"/>
          <w:kern w:val="2"/>
          <w:sz w:val="24"/>
          <w:szCs w:val="24"/>
          <w14:ligatures w14:val="standardContextual"/>
        </w:rPr>
      </w:pPr>
      <w:r w:rsidRPr="00EB1F51">
        <w:rPr>
          <w:rFonts w:eastAsia="Aptos" w:cstheme="minorHAnsi"/>
          <w:kern w:val="2"/>
          <w:sz w:val="24"/>
          <w:szCs w:val="24"/>
          <w14:ligatures w14:val="standardContextual"/>
        </w:rPr>
        <w:t>Lugupidamisega</w:t>
      </w:r>
    </w:p>
    <w:p w14:paraId="3E482649" w14:textId="77777777" w:rsidR="00095A64" w:rsidRDefault="00095A64" w:rsidP="00095A64">
      <w:pPr>
        <w:spacing w:after="0"/>
        <w:jc w:val="both"/>
        <w:rPr>
          <w:rFonts w:eastAsia="Aptos" w:cstheme="minorHAnsi"/>
          <w:kern w:val="2"/>
          <w:sz w:val="24"/>
          <w:szCs w:val="24"/>
          <w14:ligatures w14:val="standardContextual"/>
        </w:rPr>
      </w:pPr>
    </w:p>
    <w:p w14:paraId="47FE3DEC" w14:textId="59550D7D" w:rsidR="00095A64" w:rsidRDefault="00095A64" w:rsidP="00095A64">
      <w:pPr>
        <w:spacing w:after="0"/>
        <w:jc w:val="both"/>
        <w:rPr>
          <w:rFonts w:eastAsia="Aptos" w:cstheme="minorHAnsi"/>
          <w:kern w:val="2"/>
          <w:sz w:val="24"/>
          <w:szCs w:val="24"/>
          <w14:ligatures w14:val="standardContextual"/>
        </w:rPr>
      </w:pPr>
      <w:r>
        <w:rPr>
          <w:rFonts w:eastAsia="Aptos" w:cstheme="minorHAnsi"/>
          <w:kern w:val="2"/>
          <w:sz w:val="24"/>
          <w:szCs w:val="24"/>
          <w14:ligatures w14:val="standardContextual"/>
        </w:rPr>
        <w:t xml:space="preserve">/ </w:t>
      </w:r>
      <w:r w:rsidRPr="00095A64">
        <w:rPr>
          <w:rFonts w:eastAsia="Aptos" w:cstheme="minorHAnsi"/>
          <w:i/>
          <w:iCs/>
          <w:kern w:val="2"/>
          <w:sz w:val="24"/>
          <w:szCs w:val="24"/>
          <w14:ligatures w14:val="standardContextual"/>
        </w:rPr>
        <w:t>allkirjastatud digitaa</w:t>
      </w:r>
      <w:r w:rsidR="00BE520F">
        <w:rPr>
          <w:rFonts w:eastAsia="Aptos" w:cstheme="minorHAnsi"/>
          <w:i/>
          <w:iCs/>
          <w:kern w:val="2"/>
          <w:sz w:val="24"/>
          <w:szCs w:val="24"/>
          <w14:ligatures w14:val="standardContextual"/>
        </w:rPr>
        <w:t>l</w:t>
      </w:r>
      <w:r w:rsidRPr="00095A64">
        <w:rPr>
          <w:rFonts w:eastAsia="Aptos" w:cstheme="minorHAnsi"/>
          <w:i/>
          <w:iCs/>
          <w:kern w:val="2"/>
          <w:sz w:val="24"/>
          <w:szCs w:val="24"/>
          <w14:ligatures w14:val="standardContextual"/>
        </w:rPr>
        <w:t>selt</w:t>
      </w:r>
      <w:r>
        <w:rPr>
          <w:rFonts w:eastAsia="Aptos" w:cstheme="minorHAnsi"/>
          <w:kern w:val="2"/>
          <w:sz w:val="24"/>
          <w:szCs w:val="24"/>
          <w14:ligatures w14:val="standardContextual"/>
        </w:rPr>
        <w:t xml:space="preserve"> /</w:t>
      </w:r>
    </w:p>
    <w:p w14:paraId="7D6F2A1C" w14:textId="77777777" w:rsidR="00095A64" w:rsidRPr="00206D35" w:rsidRDefault="00095A64" w:rsidP="00095A64">
      <w:pPr>
        <w:spacing w:after="0"/>
        <w:jc w:val="both"/>
        <w:rPr>
          <w:b/>
          <w:sz w:val="24"/>
          <w:szCs w:val="24"/>
        </w:rPr>
      </w:pPr>
    </w:p>
    <w:p w14:paraId="5A9D76B8" w14:textId="77777777" w:rsidR="00095A64" w:rsidRDefault="00E031C5" w:rsidP="00095A64">
      <w:pPr>
        <w:spacing w:after="0"/>
        <w:jc w:val="both"/>
        <w:rPr>
          <w:rFonts w:eastAsia="Aptos" w:cstheme="minorHAnsi"/>
          <w:kern w:val="2"/>
          <w:sz w:val="24"/>
          <w:szCs w:val="24"/>
          <w14:ligatures w14:val="standardContextual"/>
        </w:rPr>
      </w:pPr>
      <w:r w:rsidRPr="00EB1F51">
        <w:rPr>
          <w:rFonts w:eastAsia="Aptos" w:cstheme="minorHAnsi"/>
          <w:kern w:val="2"/>
          <w:sz w:val="24"/>
          <w:szCs w:val="24"/>
          <w14:ligatures w14:val="standardContextual"/>
        </w:rPr>
        <w:t>Jüri Tiidermann</w:t>
      </w:r>
    </w:p>
    <w:p w14:paraId="5D141C89" w14:textId="6DC3B876" w:rsidR="00E031C5" w:rsidRPr="00EB1F51" w:rsidRDefault="00095A64" w:rsidP="00095A64">
      <w:pPr>
        <w:spacing w:after="0"/>
        <w:jc w:val="both"/>
        <w:rPr>
          <w:rFonts w:eastAsia="Aptos" w:cstheme="minorHAnsi"/>
          <w:kern w:val="2"/>
          <w:sz w:val="24"/>
          <w:szCs w:val="24"/>
          <w14:ligatures w14:val="standardContextual"/>
        </w:rPr>
      </w:pPr>
      <w:r>
        <w:rPr>
          <w:rFonts w:eastAsia="Aptos" w:cstheme="minorHAnsi"/>
          <w:kern w:val="2"/>
          <w:sz w:val="24"/>
          <w:szCs w:val="24"/>
          <w14:ligatures w14:val="standardContextual"/>
        </w:rPr>
        <w:t>J</w:t>
      </w:r>
      <w:r w:rsidR="00E031C5" w:rsidRPr="00EB1F51">
        <w:rPr>
          <w:rFonts w:eastAsia="Aptos" w:cstheme="minorHAnsi"/>
          <w:kern w:val="2"/>
          <w:sz w:val="24"/>
          <w:szCs w:val="24"/>
          <w14:ligatures w14:val="standardContextual"/>
        </w:rPr>
        <w:t xml:space="preserve">uhatuse </w:t>
      </w:r>
      <w:r>
        <w:rPr>
          <w:rFonts w:eastAsia="Aptos" w:cstheme="minorHAnsi"/>
          <w:kern w:val="2"/>
          <w:sz w:val="24"/>
          <w:szCs w:val="24"/>
          <w14:ligatures w14:val="standardContextual"/>
        </w:rPr>
        <w:t>esimees</w:t>
      </w:r>
    </w:p>
    <w:p w14:paraId="67979AF2" w14:textId="77777777" w:rsidR="00E031C5" w:rsidRDefault="00E031C5" w:rsidP="00E031C5">
      <w:pPr>
        <w:rPr>
          <w:rFonts w:eastAsia="Aptos" w:cstheme="minorHAnsi"/>
          <w:kern w:val="2"/>
          <w:sz w:val="24"/>
          <w:szCs w:val="24"/>
          <w14:ligatures w14:val="standardContextual"/>
        </w:rPr>
      </w:pPr>
    </w:p>
    <w:p w14:paraId="3E201453" w14:textId="77777777" w:rsidR="00E031C5" w:rsidRDefault="00E031C5" w:rsidP="00E031C5">
      <w:pPr>
        <w:rPr>
          <w:rFonts w:eastAsia="Aptos" w:cstheme="minorHAnsi"/>
          <w:kern w:val="2"/>
          <w:sz w:val="24"/>
          <w:szCs w:val="24"/>
          <w14:ligatures w14:val="standardContextual"/>
        </w:rPr>
      </w:pPr>
    </w:p>
    <w:p w14:paraId="1A3C6E0A" w14:textId="77777777" w:rsidR="005D3ADD" w:rsidRPr="00E031C5" w:rsidRDefault="005D3ADD" w:rsidP="0070698F">
      <w:pPr>
        <w:pStyle w:val="SLONormal"/>
        <w:rPr>
          <w:lang w:val="et-EE"/>
        </w:rPr>
      </w:pPr>
    </w:p>
    <w:sectPr w:rsidR="005D3ADD" w:rsidRPr="00E031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3E33D" w14:textId="77777777" w:rsidR="00C9315A" w:rsidRDefault="00C9315A" w:rsidP="00E031C5">
      <w:pPr>
        <w:spacing w:after="0" w:line="240" w:lineRule="auto"/>
      </w:pPr>
      <w:r>
        <w:separator/>
      </w:r>
    </w:p>
  </w:endnote>
  <w:endnote w:type="continuationSeparator" w:id="0">
    <w:p w14:paraId="49880803" w14:textId="77777777" w:rsidR="00C9315A" w:rsidRDefault="00C9315A" w:rsidP="00E0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33997" w14:textId="77777777" w:rsidR="00C9315A" w:rsidRDefault="00C9315A" w:rsidP="00E031C5">
      <w:pPr>
        <w:spacing w:after="0" w:line="240" w:lineRule="auto"/>
      </w:pPr>
      <w:r>
        <w:separator/>
      </w:r>
    </w:p>
  </w:footnote>
  <w:footnote w:type="continuationSeparator" w:id="0">
    <w:p w14:paraId="578C0756" w14:textId="77777777" w:rsidR="00C9315A" w:rsidRDefault="00C9315A" w:rsidP="00E031C5">
      <w:pPr>
        <w:spacing w:after="0" w:line="240" w:lineRule="auto"/>
      </w:pPr>
      <w:r>
        <w:continuationSeparator/>
      </w:r>
    </w:p>
  </w:footnote>
  <w:footnote w:id="1">
    <w:p w14:paraId="230A6BBC" w14:textId="77777777" w:rsidR="00742572" w:rsidRPr="00B36E78" w:rsidRDefault="00742572" w:rsidP="00742572">
      <w:pPr>
        <w:pStyle w:val="Allmrkusetekst"/>
        <w:rPr>
          <w:lang w:val="fi-FI"/>
        </w:rPr>
      </w:pPr>
      <w:r w:rsidRPr="00B36E78">
        <w:rPr>
          <w:rStyle w:val="Allmrkuseviide"/>
        </w:rPr>
        <w:footnoteRef/>
      </w:r>
      <w:r w:rsidRPr="00B36E78">
        <w:rPr>
          <w:lang w:val="fi-FI"/>
        </w:rPr>
        <w:t xml:space="preserve"> </w:t>
      </w:r>
      <w:proofErr w:type="spellStart"/>
      <w:r w:rsidRPr="00B36E78">
        <w:rPr>
          <w:lang w:val="fi-FI"/>
        </w:rPr>
        <w:t>Seletuskirja</w:t>
      </w:r>
      <w:proofErr w:type="spellEnd"/>
      <w:r w:rsidRPr="00B36E78">
        <w:rPr>
          <w:lang w:val="fi-FI"/>
        </w:rPr>
        <w:t xml:space="preserve"> § 34, </w:t>
      </w:r>
      <w:proofErr w:type="spellStart"/>
      <w:r w:rsidRPr="00B36E78">
        <w:rPr>
          <w:lang w:val="fi-FI"/>
        </w:rPr>
        <w:t>lk</w:t>
      </w:r>
      <w:proofErr w:type="spellEnd"/>
      <w:r w:rsidRPr="00B36E78">
        <w:rPr>
          <w:lang w:val="fi-FI"/>
        </w:rPr>
        <w:t xml:space="preserve"> 79.</w:t>
      </w:r>
    </w:p>
  </w:footnote>
  <w:footnote w:id="2">
    <w:p w14:paraId="61D3CF2E" w14:textId="77777777" w:rsidR="00742572" w:rsidRPr="00B36E78" w:rsidRDefault="00742572" w:rsidP="00742572">
      <w:pPr>
        <w:pStyle w:val="Allmrkusetekst"/>
        <w:rPr>
          <w:lang w:val="fi-FI"/>
        </w:rPr>
      </w:pPr>
      <w:r w:rsidRPr="00B36E78">
        <w:rPr>
          <w:rStyle w:val="Allmrkuseviide"/>
        </w:rPr>
        <w:footnoteRef/>
      </w:r>
      <w:r w:rsidRPr="00B36E78">
        <w:rPr>
          <w:lang w:val="fi-FI"/>
        </w:rPr>
        <w:t xml:space="preserve"> Laht, J. Roos, I. Eesti </w:t>
      </w:r>
      <w:proofErr w:type="spellStart"/>
      <w:r w:rsidRPr="00B36E78">
        <w:rPr>
          <w:lang w:val="fi-FI"/>
        </w:rPr>
        <w:t>kasvuhoonegaaside</w:t>
      </w:r>
      <w:proofErr w:type="spellEnd"/>
      <w:r w:rsidRPr="00B36E78">
        <w:rPr>
          <w:lang w:val="fi-FI"/>
        </w:rPr>
        <w:t xml:space="preserve"> </w:t>
      </w:r>
      <w:proofErr w:type="spellStart"/>
      <w:r w:rsidRPr="00B36E78">
        <w:rPr>
          <w:lang w:val="fi-FI"/>
        </w:rPr>
        <w:t>eelarve</w:t>
      </w:r>
      <w:proofErr w:type="spellEnd"/>
      <w:r w:rsidRPr="00B36E78">
        <w:rPr>
          <w:lang w:val="fi-FI"/>
        </w:rPr>
        <w:t xml:space="preserve"> koostamine. Tallinn: TalTech </w:t>
      </w:r>
      <w:proofErr w:type="spellStart"/>
      <w:r w:rsidRPr="00B36E78">
        <w:rPr>
          <w:lang w:val="fi-FI"/>
        </w:rPr>
        <w:t>Energiatehnoloogia</w:t>
      </w:r>
      <w:proofErr w:type="spellEnd"/>
      <w:r w:rsidRPr="00B36E78">
        <w:rPr>
          <w:lang w:val="fi-FI"/>
        </w:rPr>
        <w:t xml:space="preserve"> </w:t>
      </w:r>
      <w:proofErr w:type="spellStart"/>
      <w:r w:rsidRPr="00B36E78">
        <w:rPr>
          <w:lang w:val="fi-FI"/>
        </w:rPr>
        <w:t>Instituut</w:t>
      </w:r>
      <w:proofErr w:type="spellEnd"/>
      <w:r w:rsidRPr="00B36E78">
        <w:rPr>
          <w:lang w:val="fi-FI"/>
        </w:rPr>
        <w:t xml:space="preserve">, 2024, </w:t>
      </w:r>
      <w:proofErr w:type="spellStart"/>
      <w:r w:rsidRPr="00B36E78">
        <w:rPr>
          <w:lang w:val="fi-FI"/>
        </w:rPr>
        <w:t>lk</w:t>
      </w:r>
      <w:proofErr w:type="spellEnd"/>
      <w:r w:rsidRPr="00B36E78">
        <w:rPr>
          <w:lang w:val="fi-FI"/>
        </w:rPr>
        <w:t xml:space="preserve"> 6.</w:t>
      </w:r>
    </w:p>
  </w:footnote>
  <w:footnote w:id="3">
    <w:p w14:paraId="0A397352" w14:textId="77777777" w:rsidR="009E4C28" w:rsidRPr="009E4C28" w:rsidRDefault="009E4C28" w:rsidP="009E4C28">
      <w:pPr>
        <w:pStyle w:val="Allmrkusetekst"/>
        <w:rPr>
          <w:lang w:val="fi-FI"/>
        </w:rPr>
      </w:pPr>
      <w:r w:rsidRPr="00B36E78">
        <w:rPr>
          <w:rStyle w:val="Allmrkuseviide"/>
        </w:rPr>
        <w:footnoteRef/>
      </w:r>
      <w:r w:rsidRPr="009E4C28">
        <w:rPr>
          <w:lang w:val="fi-FI"/>
        </w:rPr>
        <w:t xml:space="preserve"> </w:t>
      </w:r>
      <w:proofErr w:type="spellStart"/>
      <w:r w:rsidRPr="009E4C28">
        <w:rPr>
          <w:lang w:val="fi-FI"/>
        </w:rPr>
        <w:t>Töörühma</w:t>
      </w:r>
      <w:proofErr w:type="spellEnd"/>
      <w:r w:rsidRPr="009E4C28">
        <w:rPr>
          <w:lang w:val="fi-FI"/>
        </w:rPr>
        <w:t xml:space="preserve"> </w:t>
      </w:r>
      <w:r w:rsidRPr="00B36E78">
        <w:rPr>
          <w:lang w:val="et-EE"/>
        </w:rPr>
        <w:t>„Maa- ja mullakasutuse juhtimissüsteem mullastiku teenuste efektiivseks ja jätkusuutlikuks kasutamiseks, elurikkuse kaitseks ja kliimamõju vähendamiseks” 11.11.2024 koosoleku protokoll nr 1-2/24/13, p 3.2.</w:t>
      </w:r>
    </w:p>
  </w:footnote>
  <w:footnote w:id="4">
    <w:p w14:paraId="5909D5A6" w14:textId="0BA6B30F" w:rsidR="009E4C28" w:rsidRPr="00B36E78" w:rsidRDefault="009E4C28" w:rsidP="009E4C28">
      <w:pPr>
        <w:pStyle w:val="Allmrkusetekst"/>
        <w:rPr>
          <w:lang w:val="et-EE"/>
        </w:rPr>
      </w:pPr>
      <w:r w:rsidRPr="00B36E78">
        <w:rPr>
          <w:rStyle w:val="Allmrkuseviide"/>
        </w:rPr>
        <w:footnoteRef/>
      </w:r>
      <w:r w:rsidRPr="009E4C28">
        <w:rPr>
          <w:lang w:val="fi-FI"/>
        </w:rPr>
        <w:t xml:space="preserve"> </w:t>
      </w:r>
      <w:r w:rsidRPr="00B36E78">
        <w:rPr>
          <w:lang w:val="et-EE"/>
        </w:rPr>
        <w:t>Teadusuuring jääksoode KHG bilansist võrdluses kasutuses olevate tootmisaladega ning kõrgemal tasemel metoodika väljatöötamine selle inventuuris raporteerimiseks", nr 4-18/24/4806.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19735773">
    <w:abstractNumId w:val="7"/>
  </w:num>
  <w:num w:numId="2" w16cid:durableId="473570978">
    <w:abstractNumId w:val="2"/>
  </w:num>
  <w:num w:numId="3" w16cid:durableId="1798329405">
    <w:abstractNumId w:val="4"/>
  </w:num>
  <w:num w:numId="4" w16cid:durableId="18629119">
    <w:abstractNumId w:val="8"/>
  </w:num>
  <w:num w:numId="5" w16cid:durableId="302543960">
    <w:abstractNumId w:val="3"/>
  </w:num>
  <w:num w:numId="6" w16cid:durableId="889390353">
    <w:abstractNumId w:val="0"/>
  </w:num>
  <w:num w:numId="7" w16cid:durableId="1166549952">
    <w:abstractNumId w:val="1"/>
  </w:num>
  <w:num w:numId="8" w16cid:durableId="1067266186">
    <w:abstractNumId w:val="5"/>
  </w:num>
  <w:num w:numId="9" w16cid:durableId="1250655262">
    <w:abstractNumId w:val="5"/>
  </w:num>
  <w:num w:numId="10" w16cid:durableId="1440644232">
    <w:abstractNumId w:val="5"/>
  </w:num>
  <w:num w:numId="11" w16cid:durableId="1275747613">
    <w:abstractNumId w:val="5"/>
  </w:num>
  <w:num w:numId="12" w16cid:durableId="2023165997">
    <w:abstractNumId w:val="5"/>
  </w:num>
  <w:num w:numId="13" w16cid:durableId="1024136229">
    <w:abstractNumId w:val="5"/>
  </w:num>
  <w:num w:numId="14" w16cid:durableId="243033455">
    <w:abstractNumId w:val="6"/>
  </w:num>
  <w:num w:numId="15" w16cid:durableId="1821078034">
    <w:abstractNumId w:val="5"/>
  </w:num>
  <w:num w:numId="16" w16cid:durableId="20151862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E031C5"/>
    <w:rsid w:val="00015B95"/>
    <w:rsid w:val="00095A64"/>
    <w:rsid w:val="00185FC2"/>
    <w:rsid w:val="001A0299"/>
    <w:rsid w:val="001B55A2"/>
    <w:rsid w:val="001E498F"/>
    <w:rsid w:val="0026359E"/>
    <w:rsid w:val="002836DB"/>
    <w:rsid w:val="002D3C80"/>
    <w:rsid w:val="00344814"/>
    <w:rsid w:val="004640BC"/>
    <w:rsid w:val="004E1714"/>
    <w:rsid w:val="005023C3"/>
    <w:rsid w:val="005541EF"/>
    <w:rsid w:val="0057113E"/>
    <w:rsid w:val="005B42C1"/>
    <w:rsid w:val="005D3ADD"/>
    <w:rsid w:val="005D6D01"/>
    <w:rsid w:val="005F48BD"/>
    <w:rsid w:val="0070698F"/>
    <w:rsid w:val="0073192C"/>
    <w:rsid w:val="00742572"/>
    <w:rsid w:val="007A7737"/>
    <w:rsid w:val="008A5218"/>
    <w:rsid w:val="008B036C"/>
    <w:rsid w:val="008B4D8D"/>
    <w:rsid w:val="008D6A4A"/>
    <w:rsid w:val="00916344"/>
    <w:rsid w:val="00927C90"/>
    <w:rsid w:val="00932252"/>
    <w:rsid w:val="00945013"/>
    <w:rsid w:val="009E4C28"/>
    <w:rsid w:val="00AF4F6A"/>
    <w:rsid w:val="00BE520F"/>
    <w:rsid w:val="00C52C56"/>
    <w:rsid w:val="00C9315A"/>
    <w:rsid w:val="00CE5539"/>
    <w:rsid w:val="00D6257D"/>
    <w:rsid w:val="00D82E11"/>
    <w:rsid w:val="00DC018E"/>
    <w:rsid w:val="00DC54EF"/>
    <w:rsid w:val="00DE6A83"/>
    <w:rsid w:val="00E031C5"/>
    <w:rsid w:val="00E34AC8"/>
    <w:rsid w:val="00E43141"/>
    <w:rsid w:val="00E932A2"/>
    <w:rsid w:val="00EA37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8902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031C5"/>
  </w:style>
  <w:style w:type="paragraph" w:styleId="Pealkiri1">
    <w:name w:val="heading 1"/>
    <w:basedOn w:val="Normaallaad"/>
    <w:next w:val="Normaallaad"/>
    <w:link w:val="Pealkiri1Mrk"/>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Pealkiri2">
    <w:name w:val="heading 2"/>
    <w:basedOn w:val="Normaallaad"/>
    <w:next w:val="Normaallaad"/>
    <w:link w:val="Pealkiri2Mrk"/>
    <w:uiPriority w:val="9"/>
    <w:semiHidden/>
    <w:unhideWhenUsed/>
    <w:qFormat/>
    <w:rsid w:val="00E031C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E031C5"/>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E031C5"/>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031C5"/>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Pealkiri7">
    <w:name w:val="heading 7"/>
    <w:basedOn w:val="Normaallaad"/>
    <w:next w:val="Normaallaad"/>
    <w:link w:val="Pealkiri7Mrk"/>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Pealkiri8">
    <w:name w:val="heading 8"/>
    <w:basedOn w:val="Normaallaad"/>
    <w:next w:val="Normaallaad"/>
    <w:link w:val="Pealkiri8Mrk"/>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Pealkiri9">
    <w:name w:val="heading 9"/>
    <w:basedOn w:val="Normaallaad"/>
    <w:next w:val="Normaallaad"/>
    <w:link w:val="Pealkiri9Mrk"/>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link w:val="SLONormalChar"/>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rsid w:val="0070698F"/>
    <w:pPr>
      <w:tabs>
        <w:tab w:val="center" w:pos="4535"/>
        <w:tab w:val="right" w:pos="9071"/>
      </w:tabs>
    </w:pPr>
  </w:style>
  <w:style w:type="character" w:customStyle="1" w:styleId="PisMrk">
    <w:name w:val="Päis Märk"/>
    <w:basedOn w:val="Liguvaikefont"/>
    <w:link w:val="Pis"/>
    <w:rsid w:val="0070698F"/>
    <w:rPr>
      <w:rFonts w:ascii="Times New Roman" w:eastAsia="Times New Roman" w:hAnsi="Times New Roman" w:cs="Times New Roman"/>
      <w:sz w:val="20"/>
      <w:szCs w:val="24"/>
      <w:lang w:val="en-GB"/>
    </w:rPr>
  </w:style>
  <w:style w:type="paragraph" w:styleId="Jalus">
    <w:name w:val="footer"/>
    <w:basedOn w:val="SLONormalSmall"/>
    <w:link w:val="JalusMrk"/>
    <w:rsid w:val="005D6D01"/>
    <w:pPr>
      <w:tabs>
        <w:tab w:val="center" w:pos="4535"/>
        <w:tab w:val="right" w:pos="9071"/>
      </w:tabs>
    </w:pPr>
  </w:style>
  <w:style w:type="character" w:customStyle="1" w:styleId="JalusMrk">
    <w:name w:val="Jalus Märk"/>
    <w:basedOn w:val="Liguvaikefont"/>
    <w:link w:val="Jalus"/>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7"/>
    <w:unhideWhenUsed/>
    <w:qFormat/>
    <w:rsid w:val="007A7737"/>
    <w:pPr>
      <w:spacing w:before="0" w:after="0"/>
      <w:ind w:left="142" w:hanging="142"/>
    </w:pPr>
    <w:rPr>
      <w:sz w:val="20"/>
      <w:szCs w:val="20"/>
    </w:rPr>
  </w:style>
  <w:style w:type="character" w:customStyle="1" w:styleId="AllmrkusetekstMrk">
    <w:name w:val="Allmärkuse tekst Märk"/>
    <w:basedOn w:val="Liguvaikefont"/>
    <w:link w:val="Allmrkusetekst"/>
    <w:uiPriority w:val="7"/>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customStyle="1" w:styleId="Pealkiri2Mrk">
    <w:name w:val="Pealkiri 2 Märk"/>
    <w:basedOn w:val="Liguvaikefont"/>
    <w:link w:val="Pealkiri2"/>
    <w:uiPriority w:val="9"/>
    <w:semiHidden/>
    <w:rsid w:val="00E031C5"/>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E031C5"/>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E031C5"/>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E031C5"/>
    <w:rPr>
      <w:rFonts w:eastAsiaTheme="majorEastAsia" w:cstheme="majorBidi"/>
      <w:color w:val="2F5496" w:themeColor="accent1" w:themeShade="BF"/>
    </w:rPr>
  </w:style>
  <w:style w:type="paragraph" w:styleId="Pealkiri">
    <w:name w:val="Title"/>
    <w:basedOn w:val="Normaallaad"/>
    <w:next w:val="Normaallaad"/>
    <w:link w:val="PealkiriMrk"/>
    <w:uiPriority w:val="10"/>
    <w:qFormat/>
    <w:rsid w:val="00E031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031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031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031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031C5"/>
    <w:pPr>
      <w:spacing w:before="160"/>
      <w:jc w:val="center"/>
    </w:pPr>
    <w:rPr>
      <w:i/>
      <w:iCs/>
      <w:color w:val="404040" w:themeColor="text1" w:themeTint="BF"/>
    </w:rPr>
  </w:style>
  <w:style w:type="character" w:customStyle="1" w:styleId="TsitaatMrk">
    <w:name w:val="Tsitaat Märk"/>
    <w:basedOn w:val="Liguvaikefont"/>
    <w:link w:val="Tsitaat"/>
    <w:uiPriority w:val="29"/>
    <w:rsid w:val="00E031C5"/>
    <w:rPr>
      <w:i/>
      <w:iCs/>
      <w:color w:val="404040" w:themeColor="text1" w:themeTint="BF"/>
    </w:rPr>
  </w:style>
  <w:style w:type="paragraph" w:styleId="Loendilik">
    <w:name w:val="List Paragraph"/>
    <w:basedOn w:val="Normaallaad"/>
    <w:uiPriority w:val="34"/>
    <w:qFormat/>
    <w:rsid w:val="00E031C5"/>
    <w:pPr>
      <w:ind w:left="720"/>
      <w:contextualSpacing/>
    </w:pPr>
  </w:style>
  <w:style w:type="character" w:styleId="Selgeltmrgatavrhutus">
    <w:name w:val="Intense Emphasis"/>
    <w:basedOn w:val="Liguvaikefont"/>
    <w:uiPriority w:val="21"/>
    <w:qFormat/>
    <w:rsid w:val="00E031C5"/>
    <w:rPr>
      <w:i/>
      <w:iCs/>
      <w:color w:val="2F5496" w:themeColor="accent1" w:themeShade="BF"/>
    </w:rPr>
  </w:style>
  <w:style w:type="paragraph" w:styleId="Selgeltmrgatavtsitaat">
    <w:name w:val="Intense Quote"/>
    <w:basedOn w:val="Normaallaad"/>
    <w:next w:val="Normaallaad"/>
    <w:link w:val="SelgeltmrgatavtsitaatMrk"/>
    <w:uiPriority w:val="30"/>
    <w:qFormat/>
    <w:rsid w:val="00E031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E031C5"/>
    <w:rPr>
      <w:i/>
      <w:iCs/>
      <w:color w:val="2F5496" w:themeColor="accent1" w:themeShade="BF"/>
    </w:rPr>
  </w:style>
  <w:style w:type="character" w:styleId="Selgeltmrgatavviide">
    <w:name w:val="Intense Reference"/>
    <w:basedOn w:val="Liguvaikefont"/>
    <w:uiPriority w:val="32"/>
    <w:qFormat/>
    <w:rsid w:val="00E031C5"/>
    <w:rPr>
      <w:b/>
      <w:bCs/>
      <w:smallCaps/>
      <w:color w:val="2F5496" w:themeColor="accent1" w:themeShade="BF"/>
      <w:spacing w:val="5"/>
    </w:rPr>
  </w:style>
  <w:style w:type="character" w:styleId="Allmrkuseviide">
    <w:name w:val="footnote reference"/>
    <w:basedOn w:val="Liguvaikefont"/>
    <w:uiPriority w:val="99"/>
    <w:semiHidden/>
    <w:unhideWhenUsed/>
    <w:rsid w:val="00E031C5"/>
    <w:rPr>
      <w:vertAlign w:val="superscript"/>
    </w:rPr>
  </w:style>
  <w:style w:type="character" w:customStyle="1" w:styleId="SLONormalChar">
    <w:name w:val="SLO Normal Char"/>
    <w:link w:val="SLONormal"/>
    <w:rsid w:val="00E031C5"/>
    <w:rPr>
      <w:rFonts w:ascii="Times New Roman" w:eastAsia="Times New Roman" w:hAnsi="Times New Roman" w:cs="Times New Roman"/>
      <w:sz w:val="24"/>
      <w:szCs w:val="24"/>
      <w:lang w:val="en-GB"/>
    </w:rPr>
  </w:style>
  <w:style w:type="character" w:styleId="Kommentaariviide">
    <w:name w:val="annotation reference"/>
    <w:basedOn w:val="Liguvaikefont"/>
    <w:uiPriority w:val="99"/>
    <w:semiHidden/>
    <w:unhideWhenUsed/>
    <w:rsid w:val="009E4C28"/>
    <w:rPr>
      <w:sz w:val="16"/>
      <w:szCs w:val="16"/>
    </w:rPr>
  </w:style>
  <w:style w:type="paragraph" w:styleId="Kommentaaritekst">
    <w:name w:val="annotation text"/>
    <w:basedOn w:val="Normaallaad"/>
    <w:link w:val="KommentaaritekstMrk"/>
    <w:uiPriority w:val="99"/>
    <w:unhideWhenUsed/>
    <w:rsid w:val="009E4C28"/>
    <w:pPr>
      <w:spacing w:line="240" w:lineRule="auto"/>
    </w:pPr>
    <w:rPr>
      <w:sz w:val="20"/>
      <w:szCs w:val="20"/>
    </w:rPr>
  </w:style>
  <w:style w:type="character" w:customStyle="1" w:styleId="KommentaaritekstMrk">
    <w:name w:val="Kommentaari tekst Märk"/>
    <w:basedOn w:val="Liguvaikefont"/>
    <w:link w:val="Kommentaaritekst"/>
    <w:uiPriority w:val="99"/>
    <w:rsid w:val="009E4C2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just.ee" TargetMode="Externa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LEGAL!12054949.1</documentid>
  <senderid>BRITTA.RETEL</senderid>
  <senderemail>BRITTA.RETEL@SORAINEN.COM</senderemail>
  <lastmodified>2024-12-10T18:32:00.0000000+02:00</lastmodified>
  <database>LEGAL</database>
</properties>
</file>

<file path=customXml/itemProps1.xml><?xml version="1.0" encoding="utf-8"?>
<ds:datastoreItem xmlns:ds="http://schemas.openxmlformats.org/officeDocument/2006/customXml" ds:itemID="{7D15C267-AA3D-429F-87D9-2F83DE680B39}">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6769</Characters>
  <Application>Microsoft Office Word</Application>
  <DocSecurity>0</DocSecurity>
  <Lines>56</Lines>
  <Paragraphs>15</Paragraphs>
  <ScaleCrop>false</ScaleCrop>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2024-12-10T16:32:00Z</dcterms:created>
  <dcterms:modified xsi:type="dcterms:W3CDTF">2024-12-10T16:54:00Z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45439fa2eb87a361ddabb3af15bf857d44549dbfc9b34b045e46199fbc98db1f</vt:lpwstr>
  </property>
</Properties>
</file>